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DB0DAF"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5"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5"/>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6"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6"/>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000000"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F750363" w14:textId="67A1C1C5" w:rsidR="00730CB4" w:rsidRPr="00725599"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276C2D12" w14:textId="2A4C3233" w:rsidR="004A19B8"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E40978">
        <w:rPr>
          <w:lang w:val="en-US"/>
        </w:rPr>
        <w:instrText xml:space="preserve"> ADDIN ZOTERO_ITEM CSL_CITATION {"citationID":"7aeWzY5f","properties":{"formattedCitation":"(Balkovi\\uc0\\u269{} et al., 2013)","plainCitation":"(Balkovi</w:instrText>
      </w:r>
      <w:r w:rsidR="00E40978">
        <w:rPr>
          <w:rFonts w:hint="eastAsia"/>
          <w:lang w:val="en-US"/>
        </w:rPr>
        <w:instrText>č</w:instrText>
      </w:r>
      <w:r w:rsidR="00E40978">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w:t>
      </w:r>
      <w:commentRangeStart w:id="7"/>
      <w:r>
        <w:rPr>
          <w:lang w:val="en-US"/>
        </w:rPr>
        <w:t xml:space="preserve">a representative </w:t>
      </w:r>
      <w:commentRangeEnd w:id="7"/>
      <w:r w:rsidR="001A42EB">
        <w:rPr>
          <w:rStyle w:val="CommentReference"/>
          <w:sz w:val="24"/>
          <w:szCs w:val="20"/>
          <w:lang w:val="en-US"/>
        </w:rPr>
        <w:commentReference w:id="7"/>
      </w:r>
      <w:r>
        <w:rPr>
          <w:lang w:val="en-US"/>
        </w:rPr>
        <w:t xml:space="preserve">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8"/>
      <w:r w:rsidR="005B04EC">
        <w:rPr>
          <w:lang w:val="en-US"/>
        </w:rPr>
        <w:t>different levels of Nitrogen (N) application</w:t>
      </w:r>
      <w:r w:rsidR="00507164">
        <w:rPr>
          <w:lang w:val="en-US"/>
        </w:rPr>
        <w:t>s</w:t>
      </w:r>
      <w:commentRangeEnd w:id="8"/>
      <w:r w:rsidR="00275590">
        <w:rPr>
          <w:rStyle w:val="CommentReference"/>
          <w:sz w:val="24"/>
          <w:szCs w:val="20"/>
          <w:lang w:val="en-US"/>
        </w:rPr>
        <w:commentReference w:id="8"/>
      </w:r>
      <w:r w:rsidR="00CD1E58">
        <w:rPr>
          <w:lang w:val="en-US"/>
        </w:rPr>
        <w:t xml:space="preserve"> and management practices</w:t>
      </w:r>
      <w:r w:rsidR="00323641">
        <w:rPr>
          <w:lang w:val="en-US"/>
        </w:rPr>
        <w:t xml:space="preserve"> for the period 1985</w:t>
      </w:r>
      <w:r w:rsidR="00F148E9">
        <w:rPr>
          <w:lang w:val="en-US"/>
        </w:rPr>
        <w:t>-2020</w:t>
      </w:r>
      <w:r w:rsidR="00BC5312">
        <w:rPr>
          <w:lang w:val="en-US"/>
        </w:rPr>
        <w:t xml:space="preserve"> based on historical weather</w:t>
      </w:r>
      <w:r w:rsidR="000D410B">
        <w:rPr>
          <w:lang w:val="en-US"/>
        </w:rPr>
        <w:t>.</w:t>
      </w:r>
      <w:r w:rsidR="00507164">
        <w:rPr>
          <w:lang w:val="en-US"/>
        </w:rPr>
        <w:t xml:space="preserve"> </w:t>
      </w:r>
      <w:commentRangeStart w:id="9"/>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000C1E3E" w:rsidRPr="00341226">
        <w:rPr>
          <w:szCs w:val="24"/>
          <w:lang w:val="en-GB"/>
        </w:rPr>
        <w:t xml:space="preserve">Balkovič et al. </w:t>
      </w:r>
      <w:r w:rsidR="000C1E3E">
        <w:rPr>
          <w:szCs w:val="24"/>
          <w:lang w:val="en-GB"/>
        </w:rPr>
        <w:t>(</w:t>
      </w:r>
      <w:r w:rsidR="000C1E3E" w:rsidRPr="00341226">
        <w:rPr>
          <w:szCs w:val="24"/>
          <w:lang w:val="en-GB"/>
        </w:rPr>
        <w:t>2013)</w:t>
      </w:r>
      <w:r w:rsidR="000C1E3E">
        <w:rPr>
          <w:lang w:val="en-US"/>
        </w:rPr>
        <w:fldChar w:fldCharType="end"/>
      </w:r>
      <w:commentRangeEnd w:id="9"/>
      <w:r w:rsidR="00B627D0">
        <w:rPr>
          <w:rStyle w:val="CommentReference"/>
          <w:sz w:val="24"/>
          <w:szCs w:val="20"/>
          <w:lang w:val="en-US"/>
        </w:rPr>
        <w:commentReference w:id="9"/>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w:t>
      </w:r>
      <w:r w:rsidR="004B3AA3">
        <w:rPr>
          <w:lang w:val="en-US"/>
        </w:rPr>
        <w:t xml:space="preserve"> It shows a linear relationship between N applic</w:t>
      </w:r>
      <w:r w:rsidR="00231D1F">
        <w:rPr>
          <w:lang w:val="en-US"/>
        </w:rPr>
        <w:t xml:space="preserve">ation rates and </w:t>
      </w:r>
      <w:r w:rsidR="00767490">
        <w:rPr>
          <w:lang w:val="en-US"/>
        </w:rPr>
        <w:t xml:space="preserve">the level of wheat </w:t>
      </w:r>
      <w:r w:rsidR="00231D1F">
        <w:rPr>
          <w:lang w:val="en-US"/>
        </w:rPr>
        <w:t>yield</w:t>
      </w:r>
      <w:r w:rsidR="000C5197">
        <w:rPr>
          <w:lang w:val="en-US"/>
        </w:rPr>
        <w:t>.</w:t>
      </w:r>
      <w:r w:rsidR="00C74206">
        <w:rPr>
          <w:lang w:val="en-US"/>
        </w:rPr>
        <w:t xml:space="preserve"> </w:t>
      </w:r>
    </w:p>
    <w:p w14:paraId="4144F3A8" w14:textId="77777777" w:rsidR="00DC2D50" w:rsidRDefault="00DC2D50" w:rsidP="0058467F">
      <w:pPr>
        <w:spacing w:line="360" w:lineRule="auto"/>
        <w:jc w:val="both"/>
        <w:rPr>
          <w:lang w:val="en-US"/>
        </w:rPr>
      </w:pPr>
    </w:p>
    <w:p w14:paraId="4114EEC9" w14:textId="77777777" w:rsidR="006B7197" w:rsidRDefault="006B7197" w:rsidP="0058467F">
      <w:pPr>
        <w:spacing w:line="360" w:lineRule="auto"/>
        <w:jc w:val="both"/>
        <w:rPr>
          <w:lang w:val="en-US"/>
        </w:rPr>
      </w:pPr>
    </w:p>
    <w:p w14:paraId="50FE925B" w14:textId="77777777" w:rsidR="00006403" w:rsidRDefault="00006403" w:rsidP="0058467F">
      <w:pPr>
        <w:spacing w:line="360" w:lineRule="auto"/>
        <w:jc w:val="both"/>
        <w:rPr>
          <w:lang w:val="en-US"/>
        </w:rPr>
      </w:pPr>
    </w:p>
    <w:p w14:paraId="5E60B30A" w14:textId="77777777" w:rsidR="00006403" w:rsidRDefault="00006403" w:rsidP="0058467F">
      <w:pPr>
        <w:spacing w:line="360" w:lineRule="auto"/>
        <w:jc w:val="both"/>
        <w:rPr>
          <w:lang w:val="en-US"/>
        </w:rPr>
      </w:pPr>
    </w:p>
    <w:p w14:paraId="70660676" w14:textId="77777777" w:rsidR="00006403" w:rsidRDefault="00006403" w:rsidP="0058467F">
      <w:pPr>
        <w:spacing w:line="360" w:lineRule="auto"/>
        <w:jc w:val="both"/>
        <w:rPr>
          <w:lang w:val="en-US"/>
        </w:rPr>
      </w:pPr>
    </w:p>
    <w:p w14:paraId="316198CE" w14:textId="77777777" w:rsidR="00006403" w:rsidRPr="009B703C" w:rsidRDefault="00006403" w:rsidP="0058467F">
      <w:pPr>
        <w:spacing w:line="360" w:lineRule="auto"/>
        <w:jc w:val="both"/>
        <w:rPr>
          <w:lang w:val="en-US"/>
        </w:rPr>
      </w:pPr>
    </w:p>
    <w:p w14:paraId="53B25677" w14:textId="28EC09FD" w:rsidR="001632F3" w:rsidRPr="005A16D5" w:rsidRDefault="008443BF" w:rsidP="005A16D5">
      <w:pPr>
        <w:spacing w:after="0" w:line="360" w:lineRule="auto"/>
        <w:rPr>
          <w:lang w:val="en-US"/>
        </w:rPr>
      </w:pPr>
      <w:bookmarkStart w:id="10" w:name="_Ref212044160"/>
      <w:r w:rsidRPr="008443BF">
        <w:rPr>
          <w:b/>
          <w:bCs/>
          <w:lang w:val="en-US"/>
        </w:rPr>
        <w:lastRenderedPageBreak/>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10"/>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5A16D5">
            <w:pPr>
              <w:spacing w:after="0"/>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5A16D5">
            <w:pPr>
              <w:spacing w:after="0" w:line="360"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5A16D5">
            <w:pPr>
              <w:spacing w:after="0" w:line="360"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5A16D5">
            <w:pPr>
              <w:spacing w:after="0"/>
              <w:jc w:val="center"/>
              <w:rPr>
                <w:b/>
                <w:bCs/>
                <w:sz w:val="20"/>
                <w:lang w:val="en-US"/>
              </w:rPr>
            </w:pPr>
            <w:r>
              <w:rPr>
                <w:b/>
                <w:bCs/>
                <w:sz w:val="20"/>
                <w:lang w:val="en-US"/>
              </w:rPr>
              <w:t xml:space="preserve">Median of Absolute </w:t>
            </w:r>
          </w:p>
          <w:p w14:paraId="668AA67D" w14:textId="1D5F9B44" w:rsidR="005E3CAD" w:rsidRPr="00732F70" w:rsidRDefault="005E3CAD" w:rsidP="00D63177">
            <w:pPr>
              <w:spacing w:after="0"/>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5A16D5">
            <w:pPr>
              <w:spacing w:after="0" w:line="360"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5A16D5">
            <w:pPr>
              <w:spacing w:after="0" w:line="360"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5A16D5">
            <w:pPr>
              <w:spacing w:after="0" w:line="360"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5A16D5">
            <w:pPr>
              <w:spacing w:after="0" w:line="360"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3935FF">
            <w:pPr>
              <w:spacing w:after="0" w:line="360"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3935FF">
            <w:pPr>
              <w:spacing w:after="0" w:line="360"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3935FF">
            <w:pPr>
              <w:spacing w:after="0" w:line="360"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3935FF">
            <w:pPr>
              <w:spacing w:after="0" w:line="360"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3935FF">
            <w:pPr>
              <w:spacing w:after="0" w:line="360"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5A16D5">
            <w:pPr>
              <w:spacing w:after="0" w:line="360" w:lineRule="auto"/>
              <w:rPr>
                <w:sz w:val="20"/>
                <w:lang w:val="en-US"/>
              </w:rPr>
            </w:pPr>
            <w:r w:rsidRPr="00FD4D5C">
              <w:rPr>
                <w:sz w:val="20"/>
                <w:lang w:val="en-US"/>
              </w:rPr>
              <w:t>50</w:t>
            </w:r>
          </w:p>
        </w:tc>
        <w:tc>
          <w:tcPr>
            <w:tcW w:w="0" w:type="auto"/>
            <w:vAlign w:val="center"/>
          </w:tcPr>
          <w:p w14:paraId="0EE90E42" w14:textId="77777777" w:rsidR="005E3CAD" w:rsidRPr="00FD4D5C" w:rsidRDefault="005E3CAD" w:rsidP="003935FF">
            <w:pPr>
              <w:spacing w:after="0" w:line="360" w:lineRule="auto"/>
              <w:jc w:val="center"/>
              <w:rPr>
                <w:sz w:val="20"/>
                <w:lang w:val="en-US"/>
              </w:rPr>
            </w:pPr>
            <w:r w:rsidRPr="00FD4D5C">
              <w:rPr>
                <w:sz w:val="20"/>
                <w:lang w:val="en-US"/>
              </w:rPr>
              <w:t>3.63</w:t>
            </w:r>
          </w:p>
        </w:tc>
        <w:tc>
          <w:tcPr>
            <w:tcW w:w="0" w:type="auto"/>
            <w:vAlign w:val="center"/>
          </w:tcPr>
          <w:p w14:paraId="1DD4B6D2" w14:textId="77777777" w:rsidR="005E3CAD" w:rsidRPr="00FD4D5C" w:rsidRDefault="005E3CAD" w:rsidP="003935FF">
            <w:pPr>
              <w:spacing w:after="0" w:line="360"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3935FF">
            <w:pPr>
              <w:spacing w:after="0" w:line="360"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3935FF">
            <w:pPr>
              <w:spacing w:after="0" w:line="360"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3935FF">
            <w:pPr>
              <w:spacing w:after="0" w:line="360"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5A16D5">
            <w:pPr>
              <w:spacing w:after="0" w:line="360"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3935FF">
            <w:pPr>
              <w:spacing w:after="0" w:line="360"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3935FF">
            <w:pPr>
              <w:spacing w:after="0" w:line="360"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3935FF">
            <w:pPr>
              <w:spacing w:after="0" w:line="360"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3935FF">
            <w:pPr>
              <w:spacing w:after="0" w:line="360"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3935FF">
            <w:pPr>
              <w:spacing w:after="0" w:line="360"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5A16D5">
            <w:pPr>
              <w:spacing w:after="0" w:line="360"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3935FF">
            <w:pPr>
              <w:spacing w:after="0" w:line="360"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3935FF">
            <w:pPr>
              <w:spacing w:after="0" w:line="360"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3935FF">
            <w:pPr>
              <w:spacing w:after="0" w:line="360"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3935FF">
            <w:pPr>
              <w:spacing w:after="0" w:line="360"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3935FF">
            <w:pPr>
              <w:spacing w:after="0" w:line="360" w:lineRule="auto"/>
              <w:jc w:val="center"/>
              <w:rPr>
                <w:sz w:val="20"/>
                <w:lang w:val="en-US"/>
              </w:rPr>
            </w:pPr>
            <w:r w:rsidRPr="00FD4D5C">
              <w:rPr>
                <w:sz w:val="20"/>
                <w:lang w:val="en-US"/>
              </w:rPr>
              <w:t>1084</w:t>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5A16D5">
            <w:pPr>
              <w:spacing w:after="0" w:line="360"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3935FF">
            <w:pPr>
              <w:spacing w:after="0" w:line="360"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3935FF">
            <w:pPr>
              <w:spacing w:after="0" w:line="360"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3935FF">
            <w:pPr>
              <w:spacing w:after="0" w:line="360"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3935FF">
            <w:pPr>
              <w:spacing w:after="0" w:line="360"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3935FF">
            <w:pPr>
              <w:spacing w:after="0" w:line="360" w:lineRule="auto"/>
              <w:jc w:val="center"/>
              <w:rPr>
                <w:sz w:val="20"/>
                <w:lang w:val="en-US"/>
              </w:rPr>
            </w:pPr>
            <w:r w:rsidRPr="00FD4D5C">
              <w:rPr>
                <w:sz w:val="20"/>
                <w:lang w:val="en-US"/>
              </w:rPr>
              <w:t>210</w:t>
            </w:r>
          </w:p>
        </w:tc>
      </w:tr>
    </w:tbl>
    <w:p w14:paraId="2C9075BA" w14:textId="5B471A0A"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 to ensure comparability</w:t>
      </w:r>
      <w:r w:rsidR="000A4D51">
        <w:rPr>
          <w:sz w:val="20"/>
          <w:szCs w:val="16"/>
          <w:lang w:val="en-US"/>
        </w:rPr>
        <w:t>.</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5998E9BD"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1"/>
      <w:r w:rsidR="00464575">
        <w:rPr>
          <w:lang w:val="en-US"/>
        </w:rPr>
        <w:t>XXX</w:t>
      </w:r>
      <w:commentRangeEnd w:id="11"/>
      <w:r w:rsidR="00464575">
        <w:rPr>
          <w:rStyle w:val="CommentReference"/>
          <w:sz w:val="24"/>
          <w:szCs w:val="20"/>
          <w:lang w:val="en-US"/>
        </w:rPr>
        <w:commentReference w:id="11"/>
      </w:r>
      <w:r w:rsidR="002A01BE">
        <w:rPr>
          <w:lang w:val="en-US"/>
        </w:rPr>
        <w:t>.</w:t>
      </w:r>
      <w:r w:rsidR="00464575">
        <w:rPr>
          <w:lang w:val="en-US"/>
        </w:rPr>
        <w:t xml:space="preserve"> </w:t>
      </w:r>
      <w:r w:rsidR="005C69A2">
        <w:rPr>
          <w:lang w:val="en-US"/>
        </w:rPr>
        <w:t>The dataset consists of 40</w:t>
      </w:r>
      <w:r w:rsidR="00F440B1">
        <w:rPr>
          <w:lang w:val="en-US"/>
        </w:rPr>
        <w:t>7</w:t>
      </w:r>
      <w:r w:rsidR="005C69A2">
        <w:rPr>
          <w:lang w:val="en-US"/>
        </w:rPr>
        <w:t xml:space="preserve"> observations of </w:t>
      </w:r>
      <w:ins w:id="12" w:author="Meuwissen, Miranda" w:date="2025-11-03T13:17:00Z">
        <w:r w:rsidR="001432D3">
          <w:rPr>
            <w:lang w:val="en-US"/>
          </w:rPr>
          <w:t xml:space="preserve">chemical? </w:t>
        </w:r>
      </w:ins>
      <w:r w:rsidR="005C69A2">
        <w:rPr>
          <w:lang w:val="en-US"/>
        </w:rPr>
        <w:t xml:space="preserve">Calcium Ammonium Nitrate (CAN) and </w:t>
      </w:r>
      <w:ins w:id="13" w:author="Meuwissen, Miranda" w:date="2025-11-03T13:17:00Z">
        <w:r w:rsidR="001432D3">
          <w:rPr>
            <w:lang w:val="en-US"/>
          </w:rPr>
          <w:t xml:space="preserve">mainstream? </w:t>
        </w:r>
      </w:ins>
      <w:r w:rsidR="005C69A2">
        <w:rPr>
          <w:lang w:val="en-US"/>
        </w:rPr>
        <w:t>wheat prices from January 2009 to November 2025</w:t>
      </w:r>
      <w:r w:rsidR="003620A5">
        <w:rPr>
          <w:lang w:val="en-US"/>
        </w:rPr>
        <w:t xml:space="preserve"> (</w:t>
      </w:r>
      <w:r w:rsidR="003620A5" w:rsidRPr="003620A5">
        <w:rPr>
          <w:lang w:val="en-US"/>
        </w:rPr>
        <w:fldChar w:fldCharType="begin"/>
      </w:r>
      <w:r w:rsidR="003620A5" w:rsidRPr="003620A5">
        <w:rPr>
          <w:lang w:val="en-US"/>
        </w:rPr>
        <w:instrText xml:space="preserve"> REF _Ref213337244 \h  \* MERGEFORMAT </w:instrText>
      </w:r>
      <w:r w:rsidR="003620A5" w:rsidRPr="003620A5">
        <w:rPr>
          <w:lang w:val="en-US"/>
        </w:rPr>
      </w:r>
      <w:r w:rsidR="003620A5" w:rsidRPr="003620A5">
        <w:rPr>
          <w:lang w:val="en-US"/>
        </w:rPr>
        <w:fldChar w:fldCharType="separate"/>
      </w:r>
      <w:r w:rsidR="003620A5" w:rsidRPr="003620A5">
        <w:rPr>
          <w:rFonts w:ascii="Times New Roman" w:hAnsi="Times New Roman"/>
          <w:szCs w:val="24"/>
          <w:lang w:val="en-GB"/>
        </w:rPr>
        <w:t>Figure 2</w:t>
      </w:r>
      <w:r w:rsidR="003620A5" w:rsidRPr="003620A5">
        <w:rPr>
          <w:lang w:val="en-US"/>
        </w:rPr>
        <w:fldChar w:fldCharType="end"/>
      </w:r>
      <w:r w:rsidR="003620A5">
        <w:rPr>
          <w:lang w:val="en-US"/>
        </w:rPr>
        <w:t>)</w:t>
      </w:r>
      <w:r w:rsidR="005C69A2">
        <w:rPr>
          <w:lang w:val="en-US"/>
        </w:rPr>
        <w:t>. We use the first difference as both time series are not stationary (make table).</w:t>
      </w:r>
    </w:p>
    <w:p w14:paraId="42B76E51" w14:textId="1564D2A1" w:rsidR="00390191" w:rsidRDefault="00433F53" w:rsidP="005F6E7E">
      <w:pPr>
        <w:spacing w:line="360" w:lineRule="auto"/>
        <w:jc w:val="both"/>
        <w:rPr>
          <w:lang w:val="en-US"/>
        </w:rPr>
      </w:pPr>
      <w:r w:rsidRPr="00433F53">
        <w:rPr>
          <w:noProof/>
          <w:lang w:val="en-US"/>
        </w:rPr>
        <w:drawing>
          <wp:inline distT="0" distB="0" distL="0" distR="0" wp14:anchorId="57F12202" wp14:editId="37899447">
            <wp:extent cx="5943600" cy="39604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60495"/>
                    </a:xfrm>
                    <a:prstGeom prst="rect">
                      <a:avLst/>
                    </a:prstGeom>
                  </pic:spPr>
                </pic:pic>
              </a:graphicData>
            </a:graphic>
          </wp:inline>
        </w:drawing>
      </w:r>
    </w:p>
    <w:p w14:paraId="62B87A83" w14:textId="66622065" w:rsidR="00E96780" w:rsidRDefault="00E96780" w:rsidP="00E96780">
      <w:pPr>
        <w:pStyle w:val="Caption"/>
        <w:jc w:val="both"/>
        <w:rPr>
          <w:rFonts w:ascii="Times New Roman" w:hAnsi="Times New Roman"/>
          <w:i/>
          <w:iCs w:val="0"/>
          <w:color w:val="auto"/>
          <w:sz w:val="24"/>
          <w:szCs w:val="24"/>
          <w:lang w:val="en-GB"/>
        </w:rPr>
      </w:pPr>
      <w:bookmarkStart w:id="14" w:name="_Ref213337244"/>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4"/>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Calcium Ammonium Nitrate (CAN) and wheat</w:t>
      </w:r>
      <w:r w:rsidR="00D57BF9">
        <w:rPr>
          <w:rFonts w:ascii="Times New Roman" w:hAnsi="Times New Roman"/>
          <w:i/>
          <w:iCs w:val="0"/>
          <w:color w:val="auto"/>
          <w:sz w:val="24"/>
          <w:szCs w:val="24"/>
          <w:lang w:val="en-GB"/>
        </w:rPr>
        <w:t xml:space="preserve">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05128FBF" w14:textId="77777777" w:rsidR="00E96780" w:rsidRPr="00E96780" w:rsidRDefault="00E96780" w:rsidP="00E96780">
      <w:pPr>
        <w:rPr>
          <w:lang w:val="en-GB"/>
        </w:rPr>
      </w:pPr>
    </w:p>
    <w:p w14:paraId="26CA4C60" w14:textId="2D9AF6A3" w:rsidR="003C7CDB" w:rsidRPr="00A20A37" w:rsidRDefault="003C7CDB" w:rsidP="005F6E7E">
      <w:pPr>
        <w:spacing w:line="360" w:lineRule="auto"/>
        <w:jc w:val="both"/>
        <w:rPr>
          <w:lang w:val="en-US"/>
        </w:rPr>
      </w:pPr>
    </w:p>
    <w:p w14:paraId="0EA8ACF6" w14:textId="77777777" w:rsidR="00677426" w:rsidRPr="00677426" w:rsidRDefault="00677426" w:rsidP="00677426">
      <w:pPr>
        <w:rPr>
          <w:lang w:val="en-US"/>
        </w:rPr>
      </w:pPr>
    </w:p>
    <w:p w14:paraId="364E3192" w14:textId="77777777" w:rsidR="006C7B7D" w:rsidRDefault="006C7B7D" w:rsidP="006C7B7D">
      <w:pPr>
        <w:pStyle w:val="Heading2"/>
        <w:rPr>
          <w:lang w:val="en-US"/>
        </w:rPr>
      </w:pPr>
      <w:r>
        <w:rPr>
          <w:lang w:val="en-US"/>
        </w:rPr>
        <w:t>Assumptions</w:t>
      </w:r>
    </w:p>
    <w:p w14:paraId="70D08926" w14:textId="77777777" w:rsidR="006C7B7D" w:rsidRDefault="006C7B7D" w:rsidP="006C7B7D">
      <w:pPr>
        <w:pStyle w:val="ListParagraph"/>
        <w:numPr>
          <w:ilvl w:val="0"/>
          <w:numId w:val="15"/>
        </w:numPr>
        <w:rPr>
          <w:lang w:val="en-US"/>
        </w:rPr>
      </w:pPr>
      <w:r>
        <w:rPr>
          <w:lang w:val="en-US"/>
        </w:rPr>
        <w:t xml:space="preserve">Contract pricing  </w:t>
      </w:r>
    </w:p>
    <w:p w14:paraId="0B2A7237" w14:textId="77777777" w:rsidR="006C7B7D" w:rsidRDefault="006C7B7D" w:rsidP="006C7B7D">
      <w:pPr>
        <w:pStyle w:val="ListParagraph"/>
        <w:numPr>
          <w:ilvl w:val="1"/>
          <w:numId w:val="15"/>
        </w:numPr>
        <w:rPr>
          <w:lang w:val="en-US"/>
        </w:rPr>
      </w:pPr>
      <w:r>
        <w:rPr>
          <w:lang w:val="en-US"/>
        </w:rPr>
        <w:t>Planning horizon</w:t>
      </w:r>
    </w:p>
    <w:p w14:paraId="766C61BF" w14:textId="77777777" w:rsidR="006C7B7D" w:rsidRDefault="006C7B7D" w:rsidP="006C7B7D">
      <w:pPr>
        <w:pStyle w:val="ListParagraph"/>
        <w:numPr>
          <w:ilvl w:val="1"/>
          <w:numId w:val="15"/>
        </w:numPr>
        <w:rPr>
          <w:lang w:val="en-US"/>
        </w:rPr>
      </w:pPr>
      <w:r>
        <w:rPr>
          <w:lang w:val="en-US"/>
        </w:rPr>
        <w:t>Contract duration</w:t>
      </w:r>
    </w:p>
    <w:p w14:paraId="36EEDE50" w14:textId="77777777" w:rsidR="006C7B7D" w:rsidRDefault="006C7B7D" w:rsidP="006C7B7D">
      <w:pPr>
        <w:pStyle w:val="ListParagraph"/>
        <w:numPr>
          <w:ilvl w:val="1"/>
          <w:numId w:val="15"/>
        </w:numPr>
        <w:rPr>
          <w:lang w:val="en-US"/>
        </w:rPr>
      </w:pPr>
      <w:r>
        <w:rPr>
          <w:lang w:val="en-US"/>
        </w:rPr>
        <w:t xml:space="preserve">Strike price </w:t>
      </w:r>
    </w:p>
    <w:p w14:paraId="04D37BB5" w14:textId="77777777" w:rsidR="006C7B7D" w:rsidRDefault="006C7B7D" w:rsidP="006C7B7D">
      <w:pPr>
        <w:pStyle w:val="ListParagraph"/>
        <w:numPr>
          <w:ilvl w:val="1"/>
          <w:numId w:val="15"/>
        </w:numPr>
        <w:rPr>
          <w:lang w:val="en-US"/>
        </w:rPr>
      </w:pPr>
      <w:r>
        <w:rPr>
          <w:lang w:val="en-US"/>
        </w:rPr>
        <w:t>Amount (</w:t>
      </w:r>
      <w:proofErr w:type="spellStart"/>
      <w:r>
        <w:rPr>
          <w:lang w:val="en-US"/>
        </w:rPr>
        <w:t>eg</w:t>
      </w:r>
      <w:proofErr w:type="spellEnd"/>
      <w:r>
        <w:rPr>
          <w:lang w:val="en-US"/>
        </w:rPr>
        <w:t xml:space="preserve"> tons of nitrogen)</w:t>
      </w:r>
    </w:p>
    <w:p w14:paraId="403D7DA9" w14:textId="77777777" w:rsidR="006C7B7D" w:rsidRPr="00BA5EE5" w:rsidRDefault="006C7B7D" w:rsidP="006C7B7D">
      <w:pPr>
        <w:pStyle w:val="ListParagraph"/>
        <w:numPr>
          <w:ilvl w:val="1"/>
          <w:numId w:val="15"/>
        </w:numPr>
        <w:rPr>
          <w:lang w:val="en-US"/>
        </w:rPr>
      </w:pPr>
      <w:r>
        <w:rPr>
          <w:lang w:val="en-US"/>
        </w:rPr>
        <w:t>Interest rate</w:t>
      </w:r>
    </w:p>
    <w:p w14:paraId="120A8AFF" w14:textId="77777777" w:rsidR="006C7B7D" w:rsidRDefault="006C7B7D" w:rsidP="006C7B7D">
      <w:pPr>
        <w:pStyle w:val="ListParagraph"/>
        <w:numPr>
          <w:ilvl w:val="0"/>
          <w:numId w:val="15"/>
        </w:numPr>
        <w:rPr>
          <w:lang w:val="en-US"/>
        </w:rPr>
      </w:pPr>
      <w:r>
        <w:rPr>
          <w:lang w:val="en-US"/>
        </w:rPr>
        <w:t>Behavioral factors</w:t>
      </w:r>
    </w:p>
    <w:p w14:paraId="398320DE" w14:textId="77777777" w:rsidR="006C7B7D" w:rsidRDefault="006C7B7D" w:rsidP="006C7B7D">
      <w:pPr>
        <w:pStyle w:val="ListParagraph"/>
        <w:numPr>
          <w:ilvl w:val="1"/>
          <w:numId w:val="15"/>
        </w:numPr>
        <w:rPr>
          <w:lang w:val="en-US"/>
        </w:rPr>
      </w:pPr>
      <w:r>
        <w:rPr>
          <w:lang w:val="en-US"/>
        </w:rPr>
        <w:t>Risk aversion</w:t>
      </w:r>
    </w:p>
    <w:p w14:paraId="7690C261" w14:textId="77777777" w:rsidR="006C7B7D" w:rsidRDefault="006C7B7D" w:rsidP="006C7B7D">
      <w:pPr>
        <w:pStyle w:val="ListParagraph"/>
        <w:numPr>
          <w:ilvl w:val="1"/>
          <w:numId w:val="15"/>
        </w:numPr>
        <w:rPr>
          <w:lang w:val="en-US"/>
        </w:rPr>
      </w:pPr>
      <w:r>
        <w:rPr>
          <w:lang w:val="en-US"/>
        </w:rPr>
        <w:t>Loss aversion</w:t>
      </w:r>
    </w:p>
    <w:p w14:paraId="2A7E0C5C" w14:textId="77777777" w:rsidR="006C7B7D" w:rsidRDefault="006C7B7D" w:rsidP="006C7B7D">
      <w:pPr>
        <w:pStyle w:val="ListParagraph"/>
        <w:numPr>
          <w:ilvl w:val="1"/>
          <w:numId w:val="15"/>
        </w:numPr>
        <w:rPr>
          <w:lang w:val="en-US"/>
        </w:rPr>
      </w:pPr>
      <w:r>
        <w:rPr>
          <w:lang w:val="en-US"/>
        </w:rPr>
        <w:t xml:space="preserve">Prob weighting </w:t>
      </w:r>
    </w:p>
    <w:p w14:paraId="40ACE87C" w14:textId="77777777" w:rsidR="006C7B7D" w:rsidRPr="000E5EBD" w:rsidRDefault="006C7B7D" w:rsidP="006C7B7D">
      <w:pPr>
        <w:pStyle w:val="ListParagraph"/>
        <w:numPr>
          <w:ilvl w:val="1"/>
          <w:numId w:val="15"/>
        </w:numPr>
        <w:rPr>
          <w:lang w:val="en-US"/>
        </w:rPr>
      </w:pPr>
      <w:r>
        <w:rPr>
          <w:lang w:val="en-US"/>
        </w:rPr>
        <w:t>Ambiguity aversion</w:t>
      </w:r>
    </w:p>
    <w:p w14:paraId="01EAEAA3" w14:textId="2243BA40" w:rsidR="00FD2C73" w:rsidRDefault="002320F6" w:rsidP="00FD2C73">
      <w:pPr>
        <w:pStyle w:val="Heading1"/>
        <w:spacing w:line="360" w:lineRule="auto"/>
        <w:rPr>
          <w:lang w:val="en-US"/>
        </w:rPr>
      </w:pPr>
      <w:r>
        <w:rPr>
          <w:lang w:val="en-US"/>
        </w:rPr>
        <w:t>E</w:t>
      </w:r>
      <w:r w:rsidR="00FD2C73">
        <w:rPr>
          <w:lang w:val="en-US"/>
        </w:rPr>
        <w:t>stimation</w:t>
      </w:r>
    </w:p>
    <w:p w14:paraId="74CDA902" w14:textId="61EE2792" w:rsidR="006D3270" w:rsidRPr="006D3270" w:rsidRDefault="006D3270" w:rsidP="006D3270">
      <w:pPr>
        <w:pStyle w:val="Heading2"/>
        <w:rPr>
          <w:lang w:val="en-US"/>
        </w:rPr>
      </w:pPr>
      <w:r>
        <w:rPr>
          <w:lang w:val="en-US"/>
        </w:rPr>
        <w:t>Production function</w:t>
      </w:r>
    </w:p>
    <w:p w14:paraId="7F5A0352" w14:textId="77777777" w:rsidR="00976110" w:rsidRPr="00976110" w:rsidRDefault="00976110" w:rsidP="00976110">
      <w:pPr>
        <w:rPr>
          <w:lang w:val="en-US"/>
        </w:rPr>
      </w:pPr>
    </w:p>
    <w:p w14:paraId="40FE31DC" w14:textId="4500BC24"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40302A31" w:rsidR="006D3270" w:rsidRDefault="006D3270" w:rsidP="006D3270">
      <w:pPr>
        <w:spacing w:line="360" w:lineRule="auto"/>
        <w:jc w:val="both"/>
        <w:rPr>
          <w:lang w:val="en-US"/>
        </w:rPr>
      </w:pPr>
      <w:r>
        <w:rPr>
          <w:lang w:val="en-US"/>
        </w:rPr>
        <w:t>We use Quantile Vector Autoregression (QVAR) to estimate the marginal distributions (20 a-b). To determine the number of lags</w:t>
      </w:r>
      <w:r w:rsidR="572F0EA0">
        <w:rPr>
          <w:lang w:val="en-US"/>
        </w:rPr>
        <w:t>,</w:t>
      </w:r>
      <w:r>
        <w:rPr>
          <w:lang w:val="en-US"/>
        </w:rPr>
        <w:t xml:space="preserve"> we use the Schwarz Bayesian Information Criterion (BIC). 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Pr>
          <w:lang w:val="en-US"/>
        </w:rPr>
        <w:t xml:space="preserve"> </w:t>
      </w:r>
      <w:r w:rsidR="124034D3">
        <w:rPr>
          <w:lang w:val="en-US"/>
        </w:rPr>
        <w:t xml:space="preserve"> </w:t>
      </w:r>
      <w:r>
        <w:rPr>
          <w:lang w:val="en-US"/>
        </w:rPr>
        <w:t xml:space="preserve">from 1 to 99 (Koenker, 2005): </w:t>
      </w:r>
    </w:p>
    <w:p w14:paraId="07FB3780" w14:textId="77777777" w:rsidR="006D3270" w:rsidRPr="006D30FB" w:rsidRDefault="00000000" w:rsidP="006D3270">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s</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4B8CD4E2" w14:textId="77777777" w:rsidR="006D3270" w:rsidRDefault="00000000" w:rsidP="006D3270">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p</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0155B8F" w14:textId="3694340B" w:rsidR="4C4939E2" w:rsidRDefault="4C4939E2" w:rsidP="4C4939E2">
      <w:pPr>
        <w:pStyle w:val="Heading2"/>
        <w:numPr>
          <w:ilvl w:val="0"/>
          <w:numId w:val="0"/>
        </w:numPr>
        <w:rPr>
          <w:lang w:val="en-US"/>
        </w:rPr>
      </w:pPr>
    </w:p>
    <w:p w14:paraId="482EF537" w14:textId="19A4BF4F" w:rsidR="4C4939E2" w:rsidRDefault="4C4939E2" w:rsidP="4C4939E2">
      <w:pPr>
        <w:rPr>
          <w:lang w:val="en-US"/>
        </w:rPr>
      </w:pPr>
    </w:p>
    <w:p w14:paraId="20351433" w14:textId="3135B75F" w:rsidR="001B2F4E" w:rsidRDefault="001B2F4E" w:rsidP="001B2F4E">
      <w:pPr>
        <w:pStyle w:val="Heading2"/>
        <w:rPr>
          <w:lang w:val="en-US"/>
        </w:rPr>
      </w:pPr>
      <w:r>
        <w:rPr>
          <w:lang w:val="en-US"/>
        </w:rPr>
        <w:t>Joint price dist</w:t>
      </w:r>
      <w:r w:rsidR="006C7B7D">
        <w:rPr>
          <w:lang w:val="en-US"/>
        </w:rPr>
        <w:t>ribution</w:t>
      </w:r>
    </w:p>
    <w:p w14:paraId="74CFC275" w14:textId="77777777" w:rsidR="006D3270" w:rsidRDefault="006D3270" w:rsidP="006D3270">
      <w:pPr>
        <w:spacing w:line="360" w:lineRule="auto"/>
        <w:jc w:val="both"/>
        <w:rPr>
          <w:lang w:val="en-US"/>
        </w:rPr>
      </w:pPr>
    </w:p>
    <w:p w14:paraId="49054EA9" w14:textId="00616FB9" w:rsidR="005001EF" w:rsidRDefault="00292293" w:rsidP="00352C50">
      <w:pPr>
        <w:pStyle w:val="Heading1"/>
        <w:spacing w:line="360" w:lineRule="auto"/>
        <w:rPr>
          <w:lang w:val="en-US"/>
        </w:rPr>
      </w:pPr>
      <w:r>
        <w:rPr>
          <w:lang w:val="en-US"/>
        </w:rPr>
        <w:t>Results</w:t>
      </w:r>
    </w:p>
    <w:p w14:paraId="22E55017" w14:textId="77777777" w:rsidR="004E05C1" w:rsidRPr="004E05C1" w:rsidRDefault="004E05C1" w:rsidP="004E05C1">
      <w:pPr>
        <w:rPr>
          <w:lang w:val="en-US"/>
        </w:rPr>
      </w:pPr>
    </w:p>
    <w:p w14:paraId="5F0C47AA" w14:textId="395BCA44" w:rsidR="004E05C1" w:rsidRDefault="004E05C1" w:rsidP="004E05C1">
      <w:pPr>
        <w:pStyle w:val="Heading1"/>
        <w:rPr>
          <w:lang w:val="en-US"/>
        </w:rPr>
      </w:pPr>
      <w:r>
        <w:rPr>
          <w:lang w:val="en-US"/>
        </w:rPr>
        <w:lastRenderedPageBreak/>
        <w:t>Discussion</w:t>
      </w:r>
    </w:p>
    <w:p w14:paraId="5E9D9FC8" w14:textId="77777777" w:rsidR="004E05C1" w:rsidRPr="004E05C1" w:rsidRDefault="004E05C1" w:rsidP="004E05C1">
      <w:pPr>
        <w:rPr>
          <w:lang w:val="en-US"/>
        </w:rPr>
      </w:pPr>
    </w:p>
    <w:p w14:paraId="57AAB4DF" w14:textId="77777777" w:rsidR="004E05C1" w:rsidRDefault="004E05C1" w:rsidP="004E05C1">
      <w:pPr>
        <w:pStyle w:val="Heading1"/>
        <w:rPr>
          <w:lang w:val="en-US"/>
        </w:rPr>
      </w:pPr>
      <w:r>
        <w:rPr>
          <w:lang w:val="en-US"/>
        </w:rPr>
        <w:t>Conclusions</w:t>
      </w:r>
    </w:p>
    <w:p w14:paraId="6ADB0617" w14:textId="1178859E" w:rsidR="0099302A" w:rsidRPr="004E05C1" w:rsidRDefault="0099302A" w:rsidP="004E05C1">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5C7E9334" w14:textId="77777777" w:rsidR="00E40978" w:rsidRPr="00E40978" w:rsidRDefault="00965581" w:rsidP="00E40978">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E40978" w:rsidRPr="00E40978">
        <w:rPr>
          <w:sz w:val="20"/>
          <w:lang w:val="en-GB"/>
        </w:rPr>
        <w:t xml:space="preserve">Babcock, B. A. (2015). Using cumulative prospect theory to explain anomalous crop insurance coverage choice. </w:t>
      </w:r>
      <w:r w:rsidR="00E40978" w:rsidRPr="00E40978">
        <w:rPr>
          <w:i/>
          <w:iCs/>
          <w:sz w:val="20"/>
          <w:lang w:val="en-GB"/>
        </w:rPr>
        <w:t>American Journal of Agricultural Economics</w:t>
      </w:r>
      <w:r w:rsidR="00E40978" w:rsidRPr="00E40978">
        <w:rPr>
          <w:sz w:val="20"/>
          <w:lang w:val="en-GB"/>
        </w:rPr>
        <w:t xml:space="preserve">, </w:t>
      </w:r>
      <w:r w:rsidR="00E40978" w:rsidRPr="00E40978">
        <w:rPr>
          <w:i/>
          <w:iCs/>
          <w:sz w:val="20"/>
          <w:lang w:val="en-GB"/>
        </w:rPr>
        <w:t>97</w:t>
      </w:r>
      <w:r w:rsidR="00E40978" w:rsidRPr="00E40978">
        <w:rPr>
          <w:sz w:val="20"/>
          <w:lang w:val="en-GB"/>
        </w:rPr>
        <w:t>(5), 1371–1384. https://doi.org/10.1093/ajae/aav032</w:t>
      </w:r>
    </w:p>
    <w:p w14:paraId="7EE21850" w14:textId="77777777" w:rsidR="00E40978" w:rsidRPr="00E40978" w:rsidRDefault="00E40978" w:rsidP="00E40978">
      <w:pPr>
        <w:pStyle w:val="Bibliography"/>
        <w:rPr>
          <w:sz w:val="20"/>
          <w:lang w:val="en-GB"/>
        </w:rPr>
      </w:pPr>
      <w:r w:rsidRPr="00E40978">
        <w:rPr>
          <w:sz w:val="20"/>
          <w:lang w:val="en-GB"/>
        </w:rPr>
        <w:t xml:space="preserve">Balkovič, J., van der Velde, M., Schmid, E., Skalský, R., Khabarov, N., Obersteiner, M., Stürmer, B., &amp; Xiong, W. (2013). Pan-European crop modelling with EPIC: Implementation, up-scaling and regional crop yield validation. </w:t>
      </w:r>
      <w:r w:rsidRPr="00E40978">
        <w:rPr>
          <w:i/>
          <w:iCs/>
          <w:sz w:val="20"/>
          <w:lang w:val="en-GB"/>
        </w:rPr>
        <w:t>Agricultural Systems</w:t>
      </w:r>
      <w:r w:rsidRPr="00E40978">
        <w:rPr>
          <w:sz w:val="20"/>
          <w:lang w:val="en-GB"/>
        </w:rPr>
        <w:t xml:space="preserve">, </w:t>
      </w:r>
      <w:r w:rsidRPr="00E40978">
        <w:rPr>
          <w:i/>
          <w:iCs/>
          <w:sz w:val="20"/>
          <w:lang w:val="en-GB"/>
        </w:rPr>
        <w:t>120</w:t>
      </w:r>
      <w:r w:rsidRPr="00E40978">
        <w:rPr>
          <w:sz w:val="20"/>
          <w:lang w:val="en-GB"/>
        </w:rPr>
        <w:t>, 61–75. https://doi.org/10.1016/j.agsy.2013.05.008</w:t>
      </w:r>
    </w:p>
    <w:p w14:paraId="42CBC0E1" w14:textId="77777777" w:rsidR="00E40978" w:rsidRPr="00E40978" w:rsidRDefault="00E40978" w:rsidP="00E40978">
      <w:pPr>
        <w:pStyle w:val="Bibliography"/>
        <w:rPr>
          <w:sz w:val="20"/>
          <w:lang w:val="en-GB"/>
        </w:rPr>
      </w:pPr>
      <w:r w:rsidRPr="00E40978">
        <w:rPr>
          <w:sz w:val="20"/>
          <w:lang w:val="en-GB"/>
        </w:rPr>
        <w:t xml:space="preserve">Barberis, N., Huang, M., &amp; Thaler, R. H. (2006). Individual Preferences, Monetary Gambles, and Stock Market Participation: A Case for Narrow Framing. </w:t>
      </w:r>
      <w:r w:rsidRPr="00E40978">
        <w:rPr>
          <w:i/>
          <w:iCs/>
          <w:sz w:val="20"/>
          <w:lang w:val="en-GB"/>
        </w:rPr>
        <w:t>American Economic Review</w:t>
      </w:r>
      <w:r w:rsidRPr="00E40978">
        <w:rPr>
          <w:sz w:val="20"/>
          <w:lang w:val="en-GB"/>
        </w:rPr>
        <w:t xml:space="preserve">, </w:t>
      </w:r>
      <w:r w:rsidRPr="00E40978">
        <w:rPr>
          <w:i/>
          <w:iCs/>
          <w:sz w:val="20"/>
          <w:lang w:val="en-GB"/>
        </w:rPr>
        <w:t>96</w:t>
      </w:r>
      <w:r w:rsidRPr="00E40978">
        <w:rPr>
          <w:sz w:val="20"/>
          <w:lang w:val="en-GB"/>
        </w:rPr>
        <w:t>(4), 1069–1090. https://doi.org/10.1257/aer.96.4.1069</w:t>
      </w:r>
    </w:p>
    <w:p w14:paraId="1DB34F7B" w14:textId="77777777" w:rsidR="00E40978" w:rsidRPr="00E40978" w:rsidRDefault="00E40978" w:rsidP="00E40978">
      <w:pPr>
        <w:pStyle w:val="Bibliography"/>
        <w:rPr>
          <w:sz w:val="20"/>
          <w:lang w:val="en-GB"/>
        </w:rPr>
      </w:pPr>
      <w:r w:rsidRPr="00E40978">
        <w:rPr>
          <w:sz w:val="20"/>
          <w:lang w:val="en-GB"/>
        </w:rPr>
        <w:t xml:space="preserve">Bocquého, G., Jacquet, F., &amp; Reynaud, A. (2014). Expected utility or prospect theory maximisers? Assessing farmers’ risk behaviour from field-experiment data. </w:t>
      </w:r>
      <w:r w:rsidRPr="00E40978">
        <w:rPr>
          <w:i/>
          <w:iCs/>
          <w:sz w:val="20"/>
          <w:lang w:val="en-GB"/>
        </w:rPr>
        <w:t>European Review of Agricultural Economics</w:t>
      </w:r>
      <w:r w:rsidRPr="00E40978">
        <w:rPr>
          <w:sz w:val="20"/>
          <w:lang w:val="en-GB"/>
        </w:rPr>
        <w:t xml:space="preserve">, </w:t>
      </w:r>
      <w:r w:rsidRPr="00E40978">
        <w:rPr>
          <w:i/>
          <w:iCs/>
          <w:sz w:val="20"/>
          <w:lang w:val="en-GB"/>
        </w:rPr>
        <w:t>41</w:t>
      </w:r>
      <w:r w:rsidRPr="00E40978">
        <w:rPr>
          <w:sz w:val="20"/>
          <w:lang w:val="en-GB"/>
        </w:rPr>
        <w:t>(1), 135–172. https://doi.org/10.1093/erae/jbt006</w:t>
      </w:r>
    </w:p>
    <w:p w14:paraId="02FCF010" w14:textId="77777777" w:rsidR="00E40978" w:rsidRPr="00E40978" w:rsidRDefault="00E40978" w:rsidP="00E40978">
      <w:pPr>
        <w:pStyle w:val="Bibliography"/>
        <w:rPr>
          <w:sz w:val="20"/>
          <w:lang w:val="en-GB"/>
        </w:rPr>
      </w:pPr>
      <w:r w:rsidRPr="00E40978">
        <w:rPr>
          <w:sz w:val="20"/>
          <w:lang w:val="en-GB"/>
        </w:rPr>
        <w:t xml:space="preserve">Dalhaus, T., Barnett, B. J., &amp; Finger, R. (2020). Behavioral weather insurance: Applying cumulative prospect theory to agricultural insurance design under narrow framing. </w:t>
      </w:r>
      <w:r w:rsidRPr="00E40978">
        <w:rPr>
          <w:i/>
          <w:iCs/>
          <w:sz w:val="20"/>
          <w:lang w:val="en-GB"/>
        </w:rPr>
        <w:t>PLOS ONE</w:t>
      </w:r>
      <w:r w:rsidRPr="00E40978">
        <w:rPr>
          <w:sz w:val="20"/>
          <w:lang w:val="en-GB"/>
        </w:rPr>
        <w:t xml:space="preserve">, </w:t>
      </w:r>
      <w:r w:rsidRPr="00E40978">
        <w:rPr>
          <w:i/>
          <w:iCs/>
          <w:sz w:val="20"/>
          <w:lang w:val="en-GB"/>
        </w:rPr>
        <w:t>15</w:t>
      </w:r>
      <w:r w:rsidRPr="00E40978">
        <w:rPr>
          <w:sz w:val="20"/>
          <w:lang w:val="en-GB"/>
        </w:rPr>
        <w:t>(5), e0232267. https://doi.org/10.1371/journal.pone.0232267</w:t>
      </w:r>
    </w:p>
    <w:p w14:paraId="3C924924" w14:textId="77777777" w:rsidR="00E40978" w:rsidRPr="00E40978" w:rsidRDefault="00E40978" w:rsidP="00E40978">
      <w:pPr>
        <w:pStyle w:val="Bibliography"/>
        <w:rPr>
          <w:sz w:val="20"/>
          <w:lang w:val="en-GB"/>
        </w:rPr>
      </w:pPr>
      <w:r w:rsidRPr="00E40978">
        <w:rPr>
          <w:sz w:val="20"/>
          <w:lang w:val="en-GB"/>
        </w:rPr>
        <w:t xml:space="preserve">Dong, F., Beckman, J., &amp; Arita, S. (2025). Unraveling demand and supply shocks in the U.S. nitrogen market. </w:t>
      </w:r>
      <w:r w:rsidRPr="00E40978">
        <w:rPr>
          <w:i/>
          <w:iCs/>
          <w:sz w:val="20"/>
          <w:lang w:val="en-GB"/>
        </w:rPr>
        <w:t>Applied Economic Perspectives and Policy</w:t>
      </w:r>
      <w:r w:rsidRPr="00E40978">
        <w:rPr>
          <w:sz w:val="20"/>
          <w:lang w:val="en-GB"/>
        </w:rPr>
        <w:t xml:space="preserve">, </w:t>
      </w:r>
      <w:r w:rsidRPr="00E40978">
        <w:rPr>
          <w:i/>
          <w:iCs/>
          <w:sz w:val="20"/>
          <w:lang w:val="en-GB"/>
        </w:rPr>
        <w:t>n/a</w:t>
      </w:r>
      <w:r w:rsidRPr="00E40978">
        <w:rPr>
          <w:sz w:val="20"/>
          <w:lang w:val="en-GB"/>
        </w:rPr>
        <w:t>(n/a). https://doi.org/10.1002/aepp.70004</w:t>
      </w:r>
    </w:p>
    <w:p w14:paraId="530CADD1" w14:textId="77777777" w:rsidR="00E40978" w:rsidRPr="00E40978" w:rsidRDefault="00E40978" w:rsidP="00E40978">
      <w:pPr>
        <w:pStyle w:val="Bibliography"/>
        <w:rPr>
          <w:sz w:val="20"/>
          <w:lang w:val="en-GB"/>
        </w:rPr>
      </w:pPr>
      <w:r w:rsidRPr="00E40978">
        <w:rPr>
          <w:sz w:val="20"/>
          <w:lang w:val="en-GB"/>
        </w:rPr>
        <w:t xml:space="preserve">European Commission. (2022). </w:t>
      </w:r>
      <w:r w:rsidRPr="00E40978">
        <w:rPr>
          <w:i/>
          <w:iCs/>
          <w:sz w:val="20"/>
          <w:lang w:val="en-GB"/>
        </w:rPr>
        <w:t>Food security: The Commission addresses the availability and affordability of fertilisers in the EU and globally</w:t>
      </w:r>
      <w:r w:rsidRPr="00E40978">
        <w:rPr>
          <w:sz w:val="20"/>
          <w:lang w:val="en-GB"/>
        </w:rPr>
        <w:t xml:space="preserve"> [Press release]. https://ec.europa.eu/commission/presscorner/detail/en/ip_22_6564</w:t>
      </w:r>
    </w:p>
    <w:p w14:paraId="2874FD33" w14:textId="77777777" w:rsidR="00E40978" w:rsidRPr="00E40978" w:rsidRDefault="00E40978" w:rsidP="00E40978">
      <w:pPr>
        <w:pStyle w:val="Bibliography"/>
        <w:rPr>
          <w:sz w:val="20"/>
          <w:lang w:val="en-GB"/>
        </w:rPr>
      </w:pPr>
      <w:r w:rsidRPr="00E40978">
        <w:rPr>
          <w:sz w:val="20"/>
          <w:lang w:val="en-GB"/>
        </w:rPr>
        <w:t xml:space="preserve">FAO. (2024). </w:t>
      </w:r>
      <w:r w:rsidRPr="00E40978">
        <w:rPr>
          <w:i/>
          <w:iCs/>
          <w:sz w:val="20"/>
          <w:lang w:val="en-GB"/>
        </w:rPr>
        <w:t>Inorganic fertilizers—2002-2022</w:t>
      </w:r>
      <w:r w:rsidRPr="00E40978">
        <w:rPr>
          <w:sz w:val="20"/>
          <w:lang w:val="en-GB"/>
        </w:rPr>
        <w:t xml:space="preserve"> (FAOSTAT Analytical Brief No. 90). https://doi.org/10.4060/cd1485en</w:t>
      </w:r>
    </w:p>
    <w:p w14:paraId="2B2251F0" w14:textId="77777777" w:rsidR="00E40978" w:rsidRPr="00E40978" w:rsidRDefault="00E40978" w:rsidP="00E40978">
      <w:pPr>
        <w:pStyle w:val="Bibliography"/>
        <w:rPr>
          <w:sz w:val="20"/>
          <w:lang w:val="en-GB"/>
        </w:rPr>
      </w:pPr>
      <w:r w:rsidRPr="00E40978">
        <w:rPr>
          <w:sz w:val="20"/>
          <w:lang w:val="en-GB"/>
        </w:rPr>
        <w:t xml:space="preserve">Finger, R. (2012). Nitrogen use and the effects of nitrogen taxation under consideration of production and price risks. </w:t>
      </w:r>
      <w:r w:rsidRPr="00E40978">
        <w:rPr>
          <w:i/>
          <w:iCs/>
          <w:sz w:val="20"/>
          <w:lang w:val="en-GB"/>
        </w:rPr>
        <w:t>Agricultural Systems</w:t>
      </w:r>
      <w:r w:rsidRPr="00E40978">
        <w:rPr>
          <w:sz w:val="20"/>
          <w:lang w:val="en-GB"/>
        </w:rPr>
        <w:t xml:space="preserve">, </w:t>
      </w:r>
      <w:r w:rsidRPr="00E40978">
        <w:rPr>
          <w:i/>
          <w:iCs/>
          <w:sz w:val="20"/>
          <w:lang w:val="en-GB"/>
        </w:rPr>
        <w:t>107</w:t>
      </w:r>
      <w:r w:rsidRPr="00E40978">
        <w:rPr>
          <w:sz w:val="20"/>
          <w:lang w:val="en-GB"/>
        </w:rPr>
        <w:t>, 13–20. https://doi.org/10.1016/j.agsy.2011.12.001</w:t>
      </w:r>
    </w:p>
    <w:p w14:paraId="5EAE37CE" w14:textId="77777777" w:rsidR="00E40978" w:rsidRPr="00E40978" w:rsidRDefault="00E40978" w:rsidP="00E40978">
      <w:pPr>
        <w:pStyle w:val="Bibliography"/>
        <w:rPr>
          <w:sz w:val="20"/>
          <w:lang w:val="en-GB"/>
        </w:rPr>
      </w:pPr>
      <w:r w:rsidRPr="00E40978">
        <w:rPr>
          <w:sz w:val="20"/>
          <w:lang w:val="en-GB"/>
        </w:rPr>
        <w:t xml:space="preserve">Finger, R. (2013). Investigating the performance of different estimation techniques for crop yield data analysis in crop insurance applications. </w:t>
      </w:r>
      <w:r w:rsidRPr="00E40978">
        <w:rPr>
          <w:i/>
          <w:iCs/>
          <w:sz w:val="20"/>
          <w:lang w:val="en-GB"/>
        </w:rPr>
        <w:t>Agricultural Economics</w:t>
      </w:r>
      <w:r w:rsidRPr="00E40978">
        <w:rPr>
          <w:sz w:val="20"/>
          <w:lang w:val="en-GB"/>
        </w:rPr>
        <w:t xml:space="preserve">, </w:t>
      </w:r>
      <w:r w:rsidRPr="00E40978">
        <w:rPr>
          <w:i/>
          <w:iCs/>
          <w:sz w:val="20"/>
          <w:lang w:val="en-GB"/>
        </w:rPr>
        <w:t>44</w:t>
      </w:r>
      <w:r w:rsidRPr="00E40978">
        <w:rPr>
          <w:sz w:val="20"/>
          <w:lang w:val="en-GB"/>
        </w:rPr>
        <w:t>(2), 217–230. https://doi.org/10.1111/agec.12005</w:t>
      </w:r>
    </w:p>
    <w:p w14:paraId="5C9FCEF3" w14:textId="77777777" w:rsidR="00E40978" w:rsidRPr="00E40978" w:rsidRDefault="00E40978" w:rsidP="00E40978">
      <w:pPr>
        <w:pStyle w:val="Bibliography"/>
        <w:rPr>
          <w:sz w:val="20"/>
          <w:lang w:val="en-GB"/>
        </w:rPr>
      </w:pPr>
      <w:r w:rsidRPr="00E40978">
        <w:rPr>
          <w:sz w:val="20"/>
          <w:lang w:val="en-GB"/>
        </w:rPr>
        <w:lastRenderedPageBreak/>
        <w:t xml:space="preserve">Finger, R., &amp; Hediger, W. (2008). The Application of Robust Regression to a Production Function Comparison. </w:t>
      </w:r>
      <w:r w:rsidRPr="00E40978">
        <w:rPr>
          <w:i/>
          <w:iCs/>
          <w:sz w:val="20"/>
          <w:lang w:val="en-GB"/>
        </w:rPr>
        <w:t>The Open Agriculture Journal</w:t>
      </w:r>
      <w:r w:rsidRPr="00E40978">
        <w:rPr>
          <w:sz w:val="20"/>
          <w:lang w:val="en-GB"/>
        </w:rPr>
        <w:t xml:space="preserve">, </w:t>
      </w:r>
      <w:r w:rsidRPr="00E40978">
        <w:rPr>
          <w:i/>
          <w:iCs/>
          <w:sz w:val="20"/>
          <w:lang w:val="en-GB"/>
        </w:rPr>
        <w:t>2</w:t>
      </w:r>
      <w:r w:rsidRPr="00E40978">
        <w:rPr>
          <w:sz w:val="20"/>
          <w:lang w:val="en-GB"/>
        </w:rPr>
        <w:t>(1). https://doi.org/10.2174/1874331500802010090</w:t>
      </w:r>
    </w:p>
    <w:p w14:paraId="79D31671" w14:textId="77777777" w:rsidR="00E40978" w:rsidRPr="00E40978" w:rsidRDefault="00E40978" w:rsidP="00E40978">
      <w:pPr>
        <w:pStyle w:val="Bibliography"/>
        <w:rPr>
          <w:sz w:val="20"/>
          <w:lang w:val="en-GB"/>
        </w:rPr>
      </w:pPr>
      <w:r w:rsidRPr="00E40978">
        <w:rPr>
          <w:sz w:val="20"/>
          <w:lang w:val="en-GB"/>
        </w:rPr>
        <w:t xml:space="preserve">Finger, R., &amp; Schmid, S. (2008). Modeling agricultural production risk and the adaptation to climate change. </w:t>
      </w:r>
      <w:r w:rsidRPr="00E40978">
        <w:rPr>
          <w:i/>
          <w:iCs/>
          <w:sz w:val="20"/>
          <w:lang w:val="en-GB"/>
        </w:rPr>
        <w:t>Agricultural Finance Review</w:t>
      </w:r>
      <w:r w:rsidRPr="00E40978">
        <w:rPr>
          <w:sz w:val="20"/>
          <w:lang w:val="en-GB"/>
        </w:rPr>
        <w:t xml:space="preserve">, </w:t>
      </w:r>
      <w:r w:rsidRPr="00E40978">
        <w:rPr>
          <w:i/>
          <w:iCs/>
          <w:sz w:val="20"/>
          <w:lang w:val="en-GB"/>
        </w:rPr>
        <w:t>68</w:t>
      </w:r>
      <w:r w:rsidRPr="00E40978">
        <w:rPr>
          <w:sz w:val="20"/>
          <w:lang w:val="en-GB"/>
        </w:rPr>
        <w:t>(1), 25–41. https://doi.org/10.1108/00214660880001217</w:t>
      </w:r>
    </w:p>
    <w:p w14:paraId="3210E8E9" w14:textId="77777777" w:rsidR="00E40978" w:rsidRPr="00E40978" w:rsidRDefault="00E40978" w:rsidP="00E40978">
      <w:pPr>
        <w:pStyle w:val="Bibliography"/>
        <w:rPr>
          <w:sz w:val="20"/>
          <w:lang w:val="en-GB"/>
        </w:rPr>
      </w:pPr>
      <w:r w:rsidRPr="00E40978">
        <w:rPr>
          <w:sz w:val="20"/>
          <w:lang w:val="en-GB"/>
        </w:rPr>
        <w:t xml:space="preserve">Ghirardato, P., Maccheroni, F., &amp; Marinacci, M. (2004). Differentiating ambiguity and ambiguity attitude. </w:t>
      </w:r>
      <w:r w:rsidRPr="00E40978">
        <w:rPr>
          <w:i/>
          <w:iCs/>
          <w:sz w:val="20"/>
          <w:lang w:val="en-GB"/>
        </w:rPr>
        <w:t>Journal of Economic Theory</w:t>
      </w:r>
      <w:r w:rsidRPr="00E40978">
        <w:rPr>
          <w:sz w:val="20"/>
          <w:lang w:val="en-GB"/>
        </w:rPr>
        <w:t xml:space="preserve">, </w:t>
      </w:r>
      <w:r w:rsidRPr="00E40978">
        <w:rPr>
          <w:i/>
          <w:iCs/>
          <w:sz w:val="20"/>
          <w:lang w:val="en-GB"/>
        </w:rPr>
        <w:t>118</w:t>
      </w:r>
      <w:r w:rsidRPr="00E40978">
        <w:rPr>
          <w:sz w:val="20"/>
          <w:lang w:val="en-GB"/>
        </w:rPr>
        <w:t>(2), 133–173. https://doi.org/10.1016/j.jet.2003.12.004</w:t>
      </w:r>
    </w:p>
    <w:p w14:paraId="4DC3EFDC" w14:textId="77777777" w:rsidR="00E40978" w:rsidRPr="00E40978" w:rsidRDefault="00E40978" w:rsidP="00E40978">
      <w:pPr>
        <w:pStyle w:val="Bibliography"/>
        <w:rPr>
          <w:sz w:val="20"/>
          <w:lang w:val="en-GB"/>
        </w:rPr>
      </w:pPr>
      <w:r w:rsidRPr="00E40978">
        <w:rPr>
          <w:sz w:val="20"/>
          <w:lang w:val="en-GB"/>
        </w:rPr>
        <w:t xml:space="preserve">Gilboa, I., &amp; Schmeidler, D. (1989). Maxmin expected utility with non-unique prior. </w:t>
      </w:r>
      <w:r w:rsidRPr="00E40978">
        <w:rPr>
          <w:i/>
          <w:iCs/>
          <w:sz w:val="20"/>
          <w:lang w:val="en-GB"/>
        </w:rPr>
        <w:t>Journal of Mathematical Economics</w:t>
      </w:r>
      <w:r w:rsidRPr="00E40978">
        <w:rPr>
          <w:sz w:val="20"/>
          <w:lang w:val="en-GB"/>
        </w:rPr>
        <w:t xml:space="preserve">, </w:t>
      </w:r>
      <w:r w:rsidRPr="00E40978">
        <w:rPr>
          <w:i/>
          <w:iCs/>
          <w:sz w:val="20"/>
          <w:lang w:val="en-GB"/>
        </w:rPr>
        <w:t>18</w:t>
      </w:r>
      <w:r w:rsidRPr="00E40978">
        <w:rPr>
          <w:sz w:val="20"/>
          <w:lang w:val="en-GB"/>
        </w:rPr>
        <w:t>(2), 141–153. https://doi.org/10.1016/0304-4068(89)90018-9</w:t>
      </w:r>
    </w:p>
    <w:p w14:paraId="70D5B41E" w14:textId="77777777" w:rsidR="00E40978" w:rsidRPr="00E40978" w:rsidRDefault="00E40978" w:rsidP="00E40978">
      <w:pPr>
        <w:pStyle w:val="Bibliography"/>
        <w:rPr>
          <w:sz w:val="20"/>
          <w:lang w:val="en-GB"/>
        </w:rPr>
      </w:pPr>
      <w:r w:rsidRPr="00E40978">
        <w:rPr>
          <w:sz w:val="20"/>
          <w:lang w:val="en-GB"/>
        </w:rPr>
        <w:t xml:space="preserve">Hardaker, J. B., Huirne, R. B. M., Anderson, J. R., &amp; Lien, G. (2015). </w:t>
      </w:r>
      <w:r w:rsidRPr="00E40978">
        <w:rPr>
          <w:i/>
          <w:iCs/>
          <w:sz w:val="20"/>
          <w:lang w:val="en-GB"/>
        </w:rPr>
        <w:t>Coping With Risk in Agriculture</w:t>
      </w:r>
      <w:r w:rsidRPr="00E40978">
        <w:rPr>
          <w:sz w:val="20"/>
          <w:lang w:val="en-GB"/>
        </w:rPr>
        <w:t xml:space="preserve"> (3rd ed.). CABI Publishing. https://www.cabidigitallibrary.org/doi/book/10.1079/9781780645742.0000</w:t>
      </w:r>
    </w:p>
    <w:p w14:paraId="516BE400" w14:textId="77777777" w:rsidR="00E40978" w:rsidRPr="00E40978" w:rsidRDefault="00E40978" w:rsidP="00E40978">
      <w:pPr>
        <w:pStyle w:val="Bibliography"/>
        <w:rPr>
          <w:sz w:val="20"/>
          <w:lang w:val="en-GB"/>
        </w:rPr>
      </w:pPr>
      <w:r w:rsidRPr="00E40978">
        <w:rPr>
          <w:sz w:val="20"/>
          <w:lang w:val="en-GB"/>
        </w:rPr>
        <w:t xml:space="preserve">Huber, P. J. (1973). Robust Regression: Asymptotics, Conjectures and Monte Carlo. </w:t>
      </w:r>
      <w:r w:rsidRPr="00E40978">
        <w:rPr>
          <w:i/>
          <w:iCs/>
          <w:sz w:val="20"/>
          <w:lang w:val="en-GB"/>
        </w:rPr>
        <w:t>The Annals of Statistics</w:t>
      </w:r>
      <w:r w:rsidRPr="00E40978">
        <w:rPr>
          <w:sz w:val="20"/>
          <w:lang w:val="en-GB"/>
        </w:rPr>
        <w:t xml:space="preserve">, </w:t>
      </w:r>
      <w:r w:rsidRPr="00E40978">
        <w:rPr>
          <w:i/>
          <w:iCs/>
          <w:sz w:val="20"/>
          <w:lang w:val="en-GB"/>
        </w:rPr>
        <w:t>1</w:t>
      </w:r>
      <w:r w:rsidRPr="00E40978">
        <w:rPr>
          <w:sz w:val="20"/>
          <w:lang w:val="en-GB"/>
        </w:rPr>
        <w:t>(5), 799–821.</w:t>
      </w:r>
    </w:p>
    <w:p w14:paraId="3316ACA4" w14:textId="77777777" w:rsidR="00E40978" w:rsidRPr="00E40978" w:rsidRDefault="00E40978" w:rsidP="00E40978">
      <w:pPr>
        <w:pStyle w:val="Bibliography"/>
        <w:rPr>
          <w:sz w:val="20"/>
          <w:lang w:val="en-GB"/>
        </w:rPr>
      </w:pPr>
      <w:r w:rsidRPr="00E40978">
        <w:rPr>
          <w:sz w:val="20"/>
          <w:lang w:val="en-GB"/>
        </w:rPr>
        <w:t xml:space="preserve">IFA. (2022). </w:t>
      </w:r>
      <w:r w:rsidRPr="00E40978">
        <w:rPr>
          <w:i/>
          <w:iCs/>
          <w:sz w:val="20"/>
          <w:lang w:val="en-GB"/>
        </w:rPr>
        <w:t>Fertilizer use by crop and country for the 2017-2018 period</w:t>
      </w:r>
      <w:r w:rsidRPr="00E40978">
        <w:rPr>
          <w:sz w:val="20"/>
          <w:lang w:val="en-GB"/>
        </w:rPr>
        <w:t>. International Fertilizer Association (IFA).</w:t>
      </w:r>
    </w:p>
    <w:p w14:paraId="07E9E4DA" w14:textId="77777777" w:rsidR="00E40978" w:rsidRPr="00E40978" w:rsidRDefault="00E40978" w:rsidP="00E40978">
      <w:pPr>
        <w:pStyle w:val="Bibliography"/>
        <w:rPr>
          <w:sz w:val="20"/>
          <w:lang w:val="en-GB"/>
        </w:rPr>
      </w:pPr>
      <w:r w:rsidRPr="00E40978">
        <w:rPr>
          <w:sz w:val="20"/>
          <w:lang w:val="en-GB"/>
        </w:rPr>
        <w:t xml:space="preserve">Just, R. E., &amp; Pope, R. D. (1978). Stochastic specification of production functions and economic implications. </w:t>
      </w:r>
      <w:r w:rsidRPr="00E40978">
        <w:rPr>
          <w:i/>
          <w:iCs/>
          <w:sz w:val="20"/>
          <w:lang w:val="en-GB"/>
        </w:rPr>
        <w:t>Journal of Econometrics</w:t>
      </w:r>
      <w:r w:rsidRPr="00E40978">
        <w:rPr>
          <w:sz w:val="20"/>
          <w:lang w:val="en-GB"/>
        </w:rPr>
        <w:t xml:space="preserve">, </w:t>
      </w:r>
      <w:r w:rsidRPr="00E40978">
        <w:rPr>
          <w:i/>
          <w:iCs/>
          <w:sz w:val="20"/>
          <w:lang w:val="en-GB"/>
        </w:rPr>
        <w:t>7</w:t>
      </w:r>
      <w:r w:rsidRPr="00E40978">
        <w:rPr>
          <w:sz w:val="20"/>
          <w:lang w:val="en-GB"/>
        </w:rPr>
        <w:t>(1), 67–86. https://doi.org/10.1016/0304-4076(78)90006-4</w:t>
      </w:r>
    </w:p>
    <w:p w14:paraId="32FD276F" w14:textId="77777777" w:rsidR="00E40978" w:rsidRPr="00E40978" w:rsidRDefault="00E40978" w:rsidP="00E40978">
      <w:pPr>
        <w:pStyle w:val="Bibliography"/>
        <w:rPr>
          <w:sz w:val="20"/>
          <w:lang w:val="en-GB"/>
        </w:rPr>
      </w:pPr>
      <w:r w:rsidRPr="00E40978">
        <w:rPr>
          <w:sz w:val="20"/>
          <w:lang w:val="en-GB"/>
        </w:rPr>
        <w:t xml:space="preserve">Just, R. E., &amp; Pope, R. D. (1979). Production Function Estimation and Related Risk Considerations. </w:t>
      </w:r>
      <w:r w:rsidRPr="00E40978">
        <w:rPr>
          <w:i/>
          <w:iCs/>
          <w:sz w:val="20"/>
          <w:lang w:val="en-GB"/>
        </w:rPr>
        <w:t>American Journal of Agricultural Economics</w:t>
      </w:r>
      <w:r w:rsidRPr="00E40978">
        <w:rPr>
          <w:sz w:val="20"/>
          <w:lang w:val="en-GB"/>
        </w:rPr>
        <w:t xml:space="preserve">, </w:t>
      </w:r>
      <w:r w:rsidRPr="00E40978">
        <w:rPr>
          <w:i/>
          <w:iCs/>
          <w:sz w:val="20"/>
          <w:lang w:val="en-GB"/>
        </w:rPr>
        <w:t>61</w:t>
      </w:r>
      <w:r w:rsidRPr="00E40978">
        <w:rPr>
          <w:sz w:val="20"/>
          <w:lang w:val="en-GB"/>
        </w:rPr>
        <w:t>(2), 276–284. https://doi.org/10.2307/1239732</w:t>
      </w:r>
    </w:p>
    <w:p w14:paraId="34DE958E" w14:textId="77777777" w:rsidR="00E40978" w:rsidRPr="00E40978" w:rsidRDefault="00E40978" w:rsidP="00E40978">
      <w:pPr>
        <w:pStyle w:val="Bibliography"/>
        <w:rPr>
          <w:sz w:val="20"/>
          <w:lang w:val="en-GB"/>
        </w:rPr>
      </w:pPr>
      <w:r w:rsidRPr="00E40978">
        <w:rPr>
          <w:sz w:val="20"/>
          <w:lang w:val="en-GB"/>
        </w:rPr>
        <w:t xml:space="preserve">Knight, F. H. (1921). </w:t>
      </w:r>
      <w:r w:rsidRPr="00E40978">
        <w:rPr>
          <w:i/>
          <w:iCs/>
          <w:sz w:val="20"/>
          <w:lang w:val="en-GB"/>
        </w:rPr>
        <w:t>Risk, uncertainty and profit</w:t>
      </w:r>
      <w:r w:rsidRPr="00E40978">
        <w:rPr>
          <w:sz w:val="20"/>
          <w:lang w:val="en-GB"/>
        </w:rPr>
        <w:t xml:space="preserve"> (Vol. 31). Houghton Mifflin.</w:t>
      </w:r>
    </w:p>
    <w:p w14:paraId="5A1C4652" w14:textId="77777777" w:rsidR="00E40978" w:rsidRPr="00E40978" w:rsidRDefault="00E40978" w:rsidP="00E40978">
      <w:pPr>
        <w:pStyle w:val="Bibliography"/>
        <w:rPr>
          <w:sz w:val="20"/>
          <w:lang w:val="en-GB"/>
        </w:rPr>
      </w:pPr>
      <w:r w:rsidRPr="00E40978">
        <w:rPr>
          <w:sz w:val="20"/>
          <w:lang w:val="en-GB"/>
        </w:rPr>
        <w:t xml:space="preserve">Li, J., &amp; Chavas, J. P. (2023). A dynamic analysis of the distribution of commodity futures and spot prices. </w:t>
      </w:r>
      <w:r w:rsidRPr="00E40978">
        <w:rPr>
          <w:i/>
          <w:iCs/>
          <w:sz w:val="20"/>
          <w:lang w:val="en-GB"/>
        </w:rPr>
        <w:t>American Journal of Agricultural Economics</w:t>
      </w:r>
      <w:r w:rsidRPr="00E40978">
        <w:rPr>
          <w:sz w:val="20"/>
          <w:lang w:val="en-GB"/>
        </w:rPr>
        <w:t xml:space="preserve">, </w:t>
      </w:r>
      <w:r w:rsidRPr="00E40978">
        <w:rPr>
          <w:i/>
          <w:iCs/>
          <w:sz w:val="20"/>
          <w:lang w:val="en-GB"/>
        </w:rPr>
        <w:t>105</w:t>
      </w:r>
      <w:r w:rsidRPr="00E40978">
        <w:rPr>
          <w:sz w:val="20"/>
          <w:lang w:val="en-GB"/>
        </w:rPr>
        <w:t>(1), 122–143. https://doi.org/10.1111/ajae.12309</w:t>
      </w:r>
    </w:p>
    <w:p w14:paraId="09C29A8C" w14:textId="77777777" w:rsidR="00E40978" w:rsidRPr="00E40978" w:rsidRDefault="00E40978" w:rsidP="00E40978">
      <w:pPr>
        <w:pStyle w:val="Bibliography"/>
        <w:rPr>
          <w:sz w:val="20"/>
          <w:lang w:val="en-GB"/>
        </w:rPr>
      </w:pPr>
      <w:r w:rsidRPr="00E40978">
        <w:rPr>
          <w:sz w:val="20"/>
          <w:lang w:val="en-GB"/>
        </w:rPr>
        <w:t xml:space="preserve">Mattos, F., Garcia, P., &amp; Pennings, J. M. E. (2008). Probability weighting and loss aversion in futures hedging. </w:t>
      </w:r>
      <w:r w:rsidRPr="00E40978">
        <w:rPr>
          <w:i/>
          <w:iCs/>
          <w:sz w:val="20"/>
          <w:lang w:val="en-GB"/>
        </w:rPr>
        <w:t>Journal of Financial Markets</w:t>
      </w:r>
      <w:r w:rsidRPr="00E40978">
        <w:rPr>
          <w:sz w:val="20"/>
          <w:lang w:val="en-GB"/>
        </w:rPr>
        <w:t xml:space="preserve">, </w:t>
      </w:r>
      <w:r w:rsidRPr="00E40978">
        <w:rPr>
          <w:i/>
          <w:iCs/>
          <w:sz w:val="20"/>
          <w:lang w:val="en-GB"/>
        </w:rPr>
        <w:t>11</w:t>
      </w:r>
      <w:r w:rsidRPr="00E40978">
        <w:rPr>
          <w:sz w:val="20"/>
          <w:lang w:val="en-GB"/>
        </w:rPr>
        <w:t>(4), 433–452. https://doi.org/10.1016/j.finmar.2008.04.002</w:t>
      </w:r>
    </w:p>
    <w:p w14:paraId="09AFAFC6" w14:textId="77777777" w:rsidR="00E40978" w:rsidRPr="00E40978" w:rsidRDefault="00E40978" w:rsidP="00E40978">
      <w:pPr>
        <w:pStyle w:val="Bibliography"/>
        <w:rPr>
          <w:sz w:val="20"/>
          <w:lang w:val="en-GB"/>
        </w:rPr>
      </w:pPr>
      <w:r w:rsidRPr="00E40978">
        <w:rPr>
          <w:sz w:val="20"/>
          <w:lang w:val="en-GB"/>
        </w:rPr>
        <w:t xml:space="preserve">Nelsen. (2006). </w:t>
      </w:r>
      <w:r w:rsidRPr="00E40978">
        <w:rPr>
          <w:i/>
          <w:iCs/>
          <w:sz w:val="20"/>
          <w:lang w:val="en-GB"/>
        </w:rPr>
        <w:t>An Introduction to Copulas</w:t>
      </w:r>
      <w:r w:rsidRPr="00E40978">
        <w:rPr>
          <w:sz w:val="20"/>
          <w:lang w:val="en-GB"/>
        </w:rPr>
        <w:t>. Springer. https://doi.org/10.1007/0-387-28678-0</w:t>
      </w:r>
    </w:p>
    <w:p w14:paraId="33F6FA46" w14:textId="77777777" w:rsidR="00E40978" w:rsidRPr="00E40978" w:rsidRDefault="00E40978" w:rsidP="00E40978">
      <w:pPr>
        <w:pStyle w:val="Bibliography"/>
        <w:rPr>
          <w:sz w:val="20"/>
        </w:rPr>
      </w:pPr>
      <w:r w:rsidRPr="00E40978">
        <w:rPr>
          <w:sz w:val="20"/>
          <w:lang w:val="en-GB"/>
        </w:rPr>
        <w:t xml:space="preserve">Prelec, D. (1998). The Probability Weighting Function. </w:t>
      </w:r>
      <w:r w:rsidRPr="00E40978">
        <w:rPr>
          <w:i/>
          <w:iCs/>
          <w:sz w:val="20"/>
        </w:rPr>
        <w:t>Econometrica</w:t>
      </w:r>
      <w:r w:rsidRPr="00E40978">
        <w:rPr>
          <w:sz w:val="20"/>
        </w:rPr>
        <w:t xml:space="preserve">, </w:t>
      </w:r>
      <w:r w:rsidRPr="00E40978">
        <w:rPr>
          <w:i/>
          <w:iCs/>
          <w:sz w:val="20"/>
        </w:rPr>
        <w:t>66</w:t>
      </w:r>
      <w:r w:rsidRPr="00E40978">
        <w:rPr>
          <w:sz w:val="20"/>
        </w:rPr>
        <w:t>(3), 497–527. https://doi.org/10.2307/2998573</w:t>
      </w:r>
    </w:p>
    <w:p w14:paraId="24EC23E0" w14:textId="77777777" w:rsidR="00E40978" w:rsidRPr="00E40978" w:rsidRDefault="00E40978" w:rsidP="00E40978">
      <w:pPr>
        <w:pStyle w:val="Bibliography"/>
        <w:rPr>
          <w:sz w:val="20"/>
        </w:rPr>
      </w:pPr>
      <w:r w:rsidRPr="00E40978">
        <w:rPr>
          <w:sz w:val="20"/>
        </w:rPr>
        <w:lastRenderedPageBreak/>
        <w:t xml:space="preserve">Sklar, M. (1959). </w:t>
      </w:r>
      <w:r w:rsidRPr="00E40978">
        <w:rPr>
          <w:i/>
          <w:iCs/>
          <w:sz w:val="20"/>
        </w:rPr>
        <w:t>Fonctions de Répartition À N Dimensions Et Leurs Marges</w:t>
      </w:r>
      <w:r w:rsidRPr="00E40978">
        <w:rPr>
          <w:sz w:val="20"/>
        </w:rPr>
        <w:t>. Université Paris 8. https://books.google.nl/books?id=nreSmAEACAAJ</w:t>
      </w:r>
    </w:p>
    <w:p w14:paraId="1229170E" w14:textId="77777777" w:rsidR="00E40978" w:rsidRPr="00E40978" w:rsidRDefault="00E40978" w:rsidP="00E40978">
      <w:pPr>
        <w:pStyle w:val="Bibliography"/>
        <w:rPr>
          <w:sz w:val="20"/>
          <w:lang w:val="en-GB"/>
        </w:rPr>
      </w:pPr>
      <w:r w:rsidRPr="00E40978">
        <w:rPr>
          <w:sz w:val="20"/>
        </w:rPr>
        <w:t xml:space="preserve">Spada, R., Moritz, L., Rommel, J., Cerroni, S., Meuwissen, M. P. M., &amp; Dalhaus, T. (2025). </w:t>
      </w:r>
      <w:r w:rsidRPr="00E40978">
        <w:rPr>
          <w:i/>
          <w:iCs/>
          <w:sz w:val="20"/>
          <w:lang w:val="en-GB"/>
        </w:rPr>
        <w:t>Behavioral Preferences Affecting the Adoption of Financial Price Risk Management Tools in Agriculture: A Systematic Literature Review</w:t>
      </w:r>
      <w:r w:rsidRPr="00E40978">
        <w:rPr>
          <w:sz w:val="20"/>
          <w:lang w:val="en-GB"/>
        </w:rPr>
        <w:t>. https://doi.org/10.22004/ag.econ.356632</w:t>
      </w:r>
    </w:p>
    <w:p w14:paraId="4D661CEC" w14:textId="77777777" w:rsidR="00E40978" w:rsidRPr="00E40978" w:rsidRDefault="00E40978" w:rsidP="00E40978">
      <w:pPr>
        <w:pStyle w:val="Bibliography"/>
        <w:rPr>
          <w:sz w:val="20"/>
          <w:lang w:val="en-GB"/>
        </w:rPr>
      </w:pPr>
      <w:r w:rsidRPr="00E40978">
        <w:rPr>
          <w:sz w:val="20"/>
          <w:lang w:val="en-GB"/>
        </w:rPr>
        <w:t xml:space="preserve">Tversky, A., &amp; Kahneman, D. (1981). The Framing of Decisions and the Psychology of Choice. </w:t>
      </w:r>
      <w:r w:rsidRPr="00E40978">
        <w:rPr>
          <w:i/>
          <w:iCs/>
          <w:sz w:val="20"/>
          <w:lang w:val="en-GB"/>
        </w:rPr>
        <w:t>Science</w:t>
      </w:r>
      <w:r w:rsidRPr="00E40978">
        <w:rPr>
          <w:sz w:val="20"/>
          <w:lang w:val="en-GB"/>
        </w:rPr>
        <w:t xml:space="preserve">, </w:t>
      </w:r>
      <w:r w:rsidRPr="00E40978">
        <w:rPr>
          <w:i/>
          <w:iCs/>
          <w:sz w:val="20"/>
          <w:lang w:val="en-GB"/>
        </w:rPr>
        <w:t>211</w:t>
      </w:r>
      <w:r w:rsidRPr="00E40978">
        <w:rPr>
          <w:sz w:val="20"/>
          <w:lang w:val="en-GB"/>
        </w:rPr>
        <w:t>(4481), 453–458. https://doi.org/10.1126/science.7455683</w:t>
      </w:r>
    </w:p>
    <w:p w14:paraId="61706359" w14:textId="77777777" w:rsidR="00E40978" w:rsidRPr="00E40978" w:rsidRDefault="00E40978" w:rsidP="00E40978">
      <w:pPr>
        <w:pStyle w:val="Bibliography"/>
        <w:rPr>
          <w:sz w:val="20"/>
        </w:rPr>
      </w:pPr>
      <w:r w:rsidRPr="00E40978">
        <w:rPr>
          <w:sz w:val="20"/>
          <w:lang w:val="en-GB"/>
        </w:rPr>
        <w:t xml:space="preserve">Tversky, A., &amp; Kahneman, D. (1992). Advances in prospect theory: Cumulative representation of uncertainty. </w:t>
      </w:r>
      <w:r w:rsidRPr="00E40978">
        <w:rPr>
          <w:i/>
          <w:iCs/>
          <w:sz w:val="20"/>
        </w:rPr>
        <w:t>Journal of Risk and Uncertainty</w:t>
      </w:r>
      <w:r w:rsidRPr="00E40978">
        <w:rPr>
          <w:sz w:val="20"/>
        </w:rPr>
        <w:t xml:space="preserve">, </w:t>
      </w:r>
      <w:r w:rsidRPr="00E40978">
        <w:rPr>
          <w:i/>
          <w:iCs/>
          <w:sz w:val="20"/>
        </w:rPr>
        <w:t>5</w:t>
      </w:r>
      <w:r w:rsidRPr="00E40978">
        <w:rPr>
          <w:sz w:val="20"/>
        </w:rPr>
        <w:t>(4), 297–323. https://doi.org/10.1007/BF00122574</w:t>
      </w:r>
    </w:p>
    <w:p w14:paraId="3D220838" w14:textId="776E14DC"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7" w:author="Meuwissen, Miranda" w:date="2025-11-03T13:10:00Z" w:initials="MM">
    <w:p w14:paraId="27CFB921" w14:textId="77777777" w:rsidR="001A42EB" w:rsidRPr="0018285A" w:rsidRDefault="001A42EB" w:rsidP="001A42EB">
      <w:pPr>
        <w:pStyle w:val="CommentText"/>
        <w:rPr>
          <w:lang w:val="en-GB"/>
        </w:rPr>
      </w:pPr>
      <w:r>
        <w:rPr>
          <w:rStyle w:val="CommentReference"/>
        </w:rPr>
        <w:annotationRef/>
      </w:r>
      <w:r w:rsidRPr="0018285A">
        <w:rPr>
          <w:lang w:val="en-GB"/>
        </w:rPr>
        <w:t>How do we know this?</w:t>
      </w:r>
    </w:p>
  </w:comment>
  <w:comment w:id="8" w:author="Meuwissen, Miranda" w:date="2025-11-03T13:12:00Z" w:initials="MM">
    <w:p w14:paraId="2A822CDA" w14:textId="77777777" w:rsidR="00275590" w:rsidRPr="0018285A" w:rsidRDefault="00275590" w:rsidP="00275590">
      <w:pPr>
        <w:pStyle w:val="CommentText"/>
        <w:rPr>
          <w:lang w:val="en-GB"/>
        </w:rPr>
      </w:pPr>
      <w:r>
        <w:rPr>
          <w:rStyle w:val="CommentReference"/>
        </w:rPr>
        <w:annotationRef/>
      </w:r>
      <w:r w:rsidRPr="0018285A">
        <w:rPr>
          <w:lang w:val="en-GB"/>
        </w:rPr>
        <w:t xml:space="preserve">Is this all chemical fertilizers? </w:t>
      </w:r>
    </w:p>
  </w:comment>
  <w:comment w:id="9" w:author="Meuwissen, Miranda" w:date="2025-11-03T13:15:00Z" w:initials="MM">
    <w:p w14:paraId="0D99B2CD" w14:textId="77777777" w:rsidR="004C2898" w:rsidRPr="0018285A" w:rsidRDefault="00B627D0" w:rsidP="004C2898">
      <w:pPr>
        <w:pStyle w:val="CommentText"/>
        <w:rPr>
          <w:lang w:val="en-GB"/>
        </w:rPr>
      </w:pPr>
      <w:r>
        <w:rPr>
          <w:rStyle w:val="CommentReference"/>
        </w:rPr>
        <w:annotationRef/>
      </w:r>
      <w:r w:rsidR="004C2898" w:rsidRPr="0018285A">
        <w:rPr>
          <w:lang w:val="en-GB"/>
        </w:rPr>
        <w:t xml:space="preserve">Can we say a bit more about the crop and soil </w:t>
      </w:r>
      <w:proofErr w:type="spellStart"/>
      <w:r w:rsidR="004C2898" w:rsidRPr="0018285A">
        <w:rPr>
          <w:lang w:val="en-GB"/>
        </w:rPr>
        <w:t>mngt</w:t>
      </w:r>
      <w:proofErr w:type="spellEnd"/>
      <w:r w:rsidR="004C2898" w:rsidRPr="0018285A">
        <w:rPr>
          <w:lang w:val="en-GB"/>
        </w:rPr>
        <w:t xml:space="preserve">? Are the assumed inputs and </w:t>
      </w:r>
      <w:proofErr w:type="spellStart"/>
      <w:r w:rsidR="004C2898" w:rsidRPr="0018285A">
        <w:rPr>
          <w:lang w:val="en-GB"/>
        </w:rPr>
        <w:t>mngt</w:t>
      </w:r>
      <w:proofErr w:type="spellEnd"/>
      <w:r w:rsidR="004C2898" w:rsidRPr="0018285A">
        <w:rPr>
          <w:lang w:val="en-GB"/>
        </w:rPr>
        <w:t xml:space="preserve"> still relevant in the current context? </w:t>
      </w:r>
    </w:p>
    <w:p w14:paraId="5C6D11E7" w14:textId="77777777" w:rsidR="004C2898" w:rsidRPr="0018285A" w:rsidRDefault="004C2898" w:rsidP="004C2898">
      <w:pPr>
        <w:pStyle w:val="CommentText"/>
        <w:rPr>
          <w:lang w:val="en-GB"/>
        </w:rPr>
      </w:pPr>
    </w:p>
    <w:p w14:paraId="025C9ABB" w14:textId="77777777" w:rsidR="004C2898" w:rsidRPr="0018285A" w:rsidRDefault="004C2898" w:rsidP="004C2898">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d="11" w:author="Spada, Riccardo" w:date="2025-09-26T12:23:00Z" w:initials="SR">
    <w:p w14:paraId="7520C877" w14:textId="77777777" w:rsidR="00464575" w:rsidRPr="00843680" w:rsidRDefault="00464575" w:rsidP="00464575">
      <w:pPr>
        <w:pStyle w:val="CommentText"/>
        <w:rPr>
          <w:lang w:val="en-GB"/>
        </w:rPr>
      </w:pPr>
      <w:r>
        <w:rPr>
          <w:rStyle w:val="CommentReference"/>
        </w:rPr>
        <w:annotationRef/>
      </w:r>
      <w:r w:rsidRPr="00843680">
        <w:rPr>
          <w:lang w:val="en-GB"/>
        </w:rP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27CFB921" w15:done="0"/>
  <w15:commentEx w15:paraId="2A822CDA" w15:done="0"/>
  <w15:commentEx w15:paraId="025C9AB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09482C91" w16cex:dateUtc="2025-11-03T12:10:00Z"/>
  <w16cex:commentExtensible w16cex:durableId="24A0A0E1" w16cex:dateUtc="2025-11-03T12:12:00Z"/>
  <w16cex:commentExtensible w16cex:durableId="194BEBED" w16cex:dateUtc="2025-11-03T12:15: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27CFB921" w16cid:durableId="09482C91"/>
  <w16cid:commentId w16cid:paraId="2A822CDA" w16cid:durableId="24A0A0E1"/>
  <w16cid:commentId w16cid:paraId="025C9ABB" w16cid:durableId="194BEBED"/>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A5F41" w14:textId="77777777" w:rsidR="003F3BA1" w:rsidRDefault="003F3BA1" w:rsidP="002F2556">
      <w:r>
        <w:separator/>
      </w:r>
    </w:p>
  </w:endnote>
  <w:endnote w:type="continuationSeparator" w:id="0">
    <w:p w14:paraId="3130A1AD" w14:textId="77777777" w:rsidR="003F3BA1" w:rsidRDefault="003F3BA1" w:rsidP="002F2556">
      <w:r>
        <w:continuationSeparator/>
      </w:r>
    </w:p>
  </w:endnote>
  <w:endnote w:type="continuationNotice" w:id="1">
    <w:p w14:paraId="5C1D2618" w14:textId="77777777" w:rsidR="003F3BA1" w:rsidRDefault="003F3B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101222" w:rsidRPr="00101222" w:rsidRDefault="00101222">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6BA3D" w14:textId="77777777" w:rsidR="003F3BA1" w:rsidRDefault="003F3BA1" w:rsidP="002F2556">
      <w:r>
        <w:separator/>
      </w:r>
    </w:p>
  </w:footnote>
  <w:footnote w:type="continuationSeparator" w:id="0">
    <w:p w14:paraId="40A13DAA" w14:textId="77777777" w:rsidR="003F3BA1" w:rsidRDefault="003F3BA1" w:rsidP="002F2556">
      <w:r>
        <w:continuationSeparator/>
      </w:r>
    </w:p>
  </w:footnote>
  <w:footnote w:type="continuationNotice" w:id="1">
    <w:p w14:paraId="720CC1E2" w14:textId="77777777" w:rsidR="003F3BA1" w:rsidRDefault="003F3BA1"/>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108C"/>
    <w:rsid w:val="0000118A"/>
    <w:rsid w:val="0000160C"/>
    <w:rsid w:val="00002480"/>
    <w:rsid w:val="00002620"/>
    <w:rsid w:val="00002649"/>
    <w:rsid w:val="00003142"/>
    <w:rsid w:val="0000381A"/>
    <w:rsid w:val="00003BB6"/>
    <w:rsid w:val="00004238"/>
    <w:rsid w:val="000046F2"/>
    <w:rsid w:val="000054CB"/>
    <w:rsid w:val="00005E16"/>
    <w:rsid w:val="00006403"/>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4E1"/>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0A"/>
    <w:rsid w:val="00044E9B"/>
    <w:rsid w:val="00044EE8"/>
    <w:rsid w:val="000456CC"/>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4D51"/>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8E9"/>
    <w:rsid w:val="000B7AED"/>
    <w:rsid w:val="000C0834"/>
    <w:rsid w:val="000C1315"/>
    <w:rsid w:val="000C17A7"/>
    <w:rsid w:val="000C1E3E"/>
    <w:rsid w:val="000C2608"/>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410B"/>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E8F"/>
    <w:rsid w:val="000F52FC"/>
    <w:rsid w:val="000F5765"/>
    <w:rsid w:val="000F59C7"/>
    <w:rsid w:val="000F5E03"/>
    <w:rsid w:val="000F6404"/>
    <w:rsid w:val="000F6733"/>
    <w:rsid w:val="000F6DE5"/>
    <w:rsid w:val="000F6F50"/>
    <w:rsid w:val="000F719F"/>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ACC"/>
    <w:rsid w:val="00125BC5"/>
    <w:rsid w:val="00125EF8"/>
    <w:rsid w:val="00127897"/>
    <w:rsid w:val="00127DF9"/>
    <w:rsid w:val="00130635"/>
    <w:rsid w:val="001317E0"/>
    <w:rsid w:val="00133189"/>
    <w:rsid w:val="0013318D"/>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61FE"/>
    <w:rsid w:val="00146EC5"/>
    <w:rsid w:val="0014718D"/>
    <w:rsid w:val="00147C6D"/>
    <w:rsid w:val="00150622"/>
    <w:rsid w:val="00151606"/>
    <w:rsid w:val="001519A3"/>
    <w:rsid w:val="00151E14"/>
    <w:rsid w:val="001523A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2F3"/>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97D02"/>
    <w:rsid w:val="001A0765"/>
    <w:rsid w:val="001A1409"/>
    <w:rsid w:val="001A1B4D"/>
    <w:rsid w:val="001A1F78"/>
    <w:rsid w:val="001A2B72"/>
    <w:rsid w:val="001A2DA7"/>
    <w:rsid w:val="001A324A"/>
    <w:rsid w:val="001A3996"/>
    <w:rsid w:val="001A4026"/>
    <w:rsid w:val="001A4053"/>
    <w:rsid w:val="001A4079"/>
    <w:rsid w:val="001A427A"/>
    <w:rsid w:val="001A42EB"/>
    <w:rsid w:val="001A713A"/>
    <w:rsid w:val="001B07FD"/>
    <w:rsid w:val="001B208A"/>
    <w:rsid w:val="001B2A22"/>
    <w:rsid w:val="001B2F4E"/>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404"/>
    <w:rsid w:val="00214456"/>
    <w:rsid w:val="00215755"/>
    <w:rsid w:val="0021595C"/>
    <w:rsid w:val="00215B6D"/>
    <w:rsid w:val="00216113"/>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1363"/>
    <w:rsid w:val="00231632"/>
    <w:rsid w:val="00231682"/>
    <w:rsid w:val="00231943"/>
    <w:rsid w:val="00231D1F"/>
    <w:rsid w:val="002320F6"/>
    <w:rsid w:val="002346A7"/>
    <w:rsid w:val="00234730"/>
    <w:rsid w:val="00234C54"/>
    <w:rsid w:val="00235293"/>
    <w:rsid w:val="00235DC2"/>
    <w:rsid w:val="0023664A"/>
    <w:rsid w:val="002366B9"/>
    <w:rsid w:val="00237158"/>
    <w:rsid w:val="00237F3B"/>
    <w:rsid w:val="0024009D"/>
    <w:rsid w:val="002404EF"/>
    <w:rsid w:val="00240CE2"/>
    <w:rsid w:val="00240D2E"/>
    <w:rsid w:val="002415AC"/>
    <w:rsid w:val="00241B62"/>
    <w:rsid w:val="00241E5A"/>
    <w:rsid w:val="0024269C"/>
    <w:rsid w:val="00242935"/>
    <w:rsid w:val="002436D0"/>
    <w:rsid w:val="00243923"/>
    <w:rsid w:val="00243DB7"/>
    <w:rsid w:val="002441AC"/>
    <w:rsid w:val="00244779"/>
    <w:rsid w:val="002448A5"/>
    <w:rsid w:val="00244DA2"/>
    <w:rsid w:val="00244FA4"/>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6BB"/>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DE9"/>
    <w:rsid w:val="002738BA"/>
    <w:rsid w:val="0027399F"/>
    <w:rsid w:val="00274DBE"/>
    <w:rsid w:val="00274E6F"/>
    <w:rsid w:val="00275590"/>
    <w:rsid w:val="00276CE1"/>
    <w:rsid w:val="0028052C"/>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CBC"/>
    <w:rsid w:val="002E0F92"/>
    <w:rsid w:val="002E17DA"/>
    <w:rsid w:val="002E20DD"/>
    <w:rsid w:val="002E2198"/>
    <w:rsid w:val="002E230D"/>
    <w:rsid w:val="002E2482"/>
    <w:rsid w:val="002E2B0F"/>
    <w:rsid w:val="002E30D1"/>
    <w:rsid w:val="002E3106"/>
    <w:rsid w:val="002E4D2C"/>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981"/>
    <w:rsid w:val="00335D49"/>
    <w:rsid w:val="003363B6"/>
    <w:rsid w:val="00336474"/>
    <w:rsid w:val="00336934"/>
    <w:rsid w:val="00336BED"/>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78"/>
    <w:rsid w:val="0035619A"/>
    <w:rsid w:val="003563FD"/>
    <w:rsid w:val="003572B7"/>
    <w:rsid w:val="00360459"/>
    <w:rsid w:val="00360746"/>
    <w:rsid w:val="00360BA1"/>
    <w:rsid w:val="00360C08"/>
    <w:rsid w:val="00360C9F"/>
    <w:rsid w:val="00361968"/>
    <w:rsid w:val="00361B6F"/>
    <w:rsid w:val="00361C21"/>
    <w:rsid w:val="00361CAA"/>
    <w:rsid w:val="003620A5"/>
    <w:rsid w:val="0036291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5EF5"/>
    <w:rsid w:val="00386193"/>
    <w:rsid w:val="00386AA5"/>
    <w:rsid w:val="00386B8F"/>
    <w:rsid w:val="00386C6D"/>
    <w:rsid w:val="00387493"/>
    <w:rsid w:val="00387F55"/>
    <w:rsid w:val="00390191"/>
    <w:rsid w:val="003914B5"/>
    <w:rsid w:val="00391C6B"/>
    <w:rsid w:val="003935FF"/>
    <w:rsid w:val="00393919"/>
    <w:rsid w:val="003939FA"/>
    <w:rsid w:val="00393DD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7121"/>
    <w:rsid w:val="003A751B"/>
    <w:rsid w:val="003B00C9"/>
    <w:rsid w:val="003B0686"/>
    <w:rsid w:val="003B08AA"/>
    <w:rsid w:val="003B1BE8"/>
    <w:rsid w:val="003B2829"/>
    <w:rsid w:val="003B2890"/>
    <w:rsid w:val="003B2A41"/>
    <w:rsid w:val="003B347A"/>
    <w:rsid w:val="003B4941"/>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38A"/>
    <w:rsid w:val="003E4D5C"/>
    <w:rsid w:val="003E4F12"/>
    <w:rsid w:val="003E565F"/>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3BA1"/>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7D0"/>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C3F"/>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508E"/>
    <w:rsid w:val="004C5878"/>
    <w:rsid w:val="004C5971"/>
    <w:rsid w:val="004C614A"/>
    <w:rsid w:val="004C65B3"/>
    <w:rsid w:val="004C684A"/>
    <w:rsid w:val="004C6A49"/>
    <w:rsid w:val="004C7871"/>
    <w:rsid w:val="004C78A7"/>
    <w:rsid w:val="004C7A21"/>
    <w:rsid w:val="004C7D8C"/>
    <w:rsid w:val="004D0AE8"/>
    <w:rsid w:val="004D1BE1"/>
    <w:rsid w:val="004D3408"/>
    <w:rsid w:val="004D3747"/>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4F80"/>
    <w:rsid w:val="00515AFB"/>
    <w:rsid w:val="00516010"/>
    <w:rsid w:val="0051645A"/>
    <w:rsid w:val="00516E82"/>
    <w:rsid w:val="00517249"/>
    <w:rsid w:val="0051727C"/>
    <w:rsid w:val="00517630"/>
    <w:rsid w:val="00517E91"/>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6D5"/>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749"/>
    <w:rsid w:val="005B07E4"/>
    <w:rsid w:val="005B07E5"/>
    <w:rsid w:val="005B0A7F"/>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6B6"/>
    <w:rsid w:val="005C69A2"/>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68F"/>
    <w:rsid w:val="005E1FD6"/>
    <w:rsid w:val="005E33F3"/>
    <w:rsid w:val="005E3CAD"/>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A3F"/>
    <w:rsid w:val="00605836"/>
    <w:rsid w:val="006059AC"/>
    <w:rsid w:val="00605EE8"/>
    <w:rsid w:val="006066D4"/>
    <w:rsid w:val="00606E59"/>
    <w:rsid w:val="00607F6A"/>
    <w:rsid w:val="00610EE8"/>
    <w:rsid w:val="00610F41"/>
    <w:rsid w:val="006110C4"/>
    <w:rsid w:val="00611FE2"/>
    <w:rsid w:val="006120FA"/>
    <w:rsid w:val="00612B66"/>
    <w:rsid w:val="00612FDE"/>
    <w:rsid w:val="0061302A"/>
    <w:rsid w:val="006135A1"/>
    <w:rsid w:val="00613ABC"/>
    <w:rsid w:val="006157D3"/>
    <w:rsid w:val="00615DD7"/>
    <w:rsid w:val="00616541"/>
    <w:rsid w:val="0061766E"/>
    <w:rsid w:val="00617C7A"/>
    <w:rsid w:val="00617FB3"/>
    <w:rsid w:val="0062010E"/>
    <w:rsid w:val="006205B0"/>
    <w:rsid w:val="00620BEA"/>
    <w:rsid w:val="00621443"/>
    <w:rsid w:val="00621855"/>
    <w:rsid w:val="00621FAF"/>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6944"/>
    <w:rsid w:val="00687AA9"/>
    <w:rsid w:val="00687B70"/>
    <w:rsid w:val="00687C2A"/>
    <w:rsid w:val="00687FAD"/>
    <w:rsid w:val="00690159"/>
    <w:rsid w:val="00690825"/>
    <w:rsid w:val="00690C20"/>
    <w:rsid w:val="00690C4F"/>
    <w:rsid w:val="00691D3C"/>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7"/>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0FB"/>
    <w:rsid w:val="006D3270"/>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2F70"/>
    <w:rsid w:val="00733329"/>
    <w:rsid w:val="00733643"/>
    <w:rsid w:val="00733B7A"/>
    <w:rsid w:val="00733F86"/>
    <w:rsid w:val="007345C5"/>
    <w:rsid w:val="0073472E"/>
    <w:rsid w:val="00734D4B"/>
    <w:rsid w:val="00735795"/>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60F6"/>
    <w:rsid w:val="007462D1"/>
    <w:rsid w:val="007465D8"/>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67490"/>
    <w:rsid w:val="0077009B"/>
    <w:rsid w:val="00770533"/>
    <w:rsid w:val="0077061E"/>
    <w:rsid w:val="0077119C"/>
    <w:rsid w:val="00771CDC"/>
    <w:rsid w:val="007722E4"/>
    <w:rsid w:val="00772705"/>
    <w:rsid w:val="00772714"/>
    <w:rsid w:val="00772986"/>
    <w:rsid w:val="007736BA"/>
    <w:rsid w:val="007745BF"/>
    <w:rsid w:val="00774871"/>
    <w:rsid w:val="00774FF7"/>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42C"/>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80"/>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4678"/>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70DA5"/>
    <w:rsid w:val="00870ED8"/>
    <w:rsid w:val="00871BE7"/>
    <w:rsid w:val="00871F1F"/>
    <w:rsid w:val="00871FDB"/>
    <w:rsid w:val="00872955"/>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29EE"/>
    <w:rsid w:val="00893ED8"/>
    <w:rsid w:val="00893F70"/>
    <w:rsid w:val="0089488A"/>
    <w:rsid w:val="008954AA"/>
    <w:rsid w:val="00895DBF"/>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6085"/>
    <w:rsid w:val="008F6864"/>
    <w:rsid w:val="008F6A11"/>
    <w:rsid w:val="008F6CA8"/>
    <w:rsid w:val="008F7002"/>
    <w:rsid w:val="00900DF5"/>
    <w:rsid w:val="0090193A"/>
    <w:rsid w:val="00901970"/>
    <w:rsid w:val="00901DAB"/>
    <w:rsid w:val="00901F60"/>
    <w:rsid w:val="00902A93"/>
    <w:rsid w:val="009030ED"/>
    <w:rsid w:val="009032FA"/>
    <w:rsid w:val="0090378C"/>
    <w:rsid w:val="00903DFE"/>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53BB"/>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6D2"/>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574"/>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9BC"/>
    <w:rsid w:val="00A62A7D"/>
    <w:rsid w:val="00A63115"/>
    <w:rsid w:val="00A64AC5"/>
    <w:rsid w:val="00A6523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D3B"/>
    <w:rsid w:val="00AA0CF0"/>
    <w:rsid w:val="00AA1E87"/>
    <w:rsid w:val="00AA2A76"/>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475F"/>
    <w:rsid w:val="00B04AC2"/>
    <w:rsid w:val="00B04C64"/>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7D0"/>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12F"/>
    <w:rsid w:val="00BA42D9"/>
    <w:rsid w:val="00BA542A"/>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73A"/>
    <w:rsid w:val="00BC0AB6"/>
    <w:rsid w:val="00BC0C00"/>
    <w:rsid w:val="00BC11EC"/>
    <w:rsid w:val="00BC1230"/>
    <w:rsid w:val="00BC13CC"/>
    <w:rsid w:val="00BC1FDD"/>
    <w:rsid w:val="00BC256F"/>
    <w:rsid w:val="00BC2D82"/>
    <w:rsid w:val="00BC327E"/>
    <w:rsid w:val="00BC3D1A"/>
    <w:rsid w:val="00BC4A3E"/>
    <w:rsid w:val="00BC4DEB"/>
    <w:rsid w:val="00BC502A"/>
    <w:rsid w:val="00BC5312"/>
    <w:rsid w:val="00BC77CB"/>
    <w:rsid w:val="00BC7BC3"/>
    <w:rsid w:val="00BC7D78"/>
    <w:rsid w:val="00BC7E7B"/>
    <w:rsid w:val="00BD01D5"/>
    <w:rsid w:val="00BD0252"/>
    <w:rsid w:val="00BD167A"/>
    <w:rsid w:val="00BD18BB"/>
    <w:rsid w:val="00BD2AC6"/>
    <w:rsid w:val="00BD305E"/>
    <w:rsid w:val="00BD34F7"/>
    <w:rsid w:val="00BD3BA8"/>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C1D"/>
    <w:rsid w:val="00BF2626"/>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51"/>
    <w:rsid w:val="00C411B8"/>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2260"/>
    <w:rsid w:val="00CB2C10"/>
    <w:rsid w:val="00CB2D31"/>
    <w:rsid w:val="00CB55AD"/>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D"/>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198"/>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625F"/>
    <w:rsid w:val="00D3673D"/>
    <w:rsid w:val="00D369B0"/>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1BF9"/>
    <w:rsid w:val="00D824EC"/>
    <w:rsid w:val="00D82E0D"/>
    <w:rsid w:val="00D8332A"/>
    <w:rsid w:val="00D844E6"/>
    <w:rsid w:val="00D86CE4"/>
    <w:rsid w:val="00D87383"/>
    <w:rsid w:val="00D87D6A"/>
    <w:rsid w:val="00D87DD9"/>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0DAF"/>
    <w:rsid w:val="00DB1066"/>
    <w:rsid w:val="00DB143A"/>
    <w:rsid w:val="00DB23CE"/>
    <w:rsid w:val="00DB23EF"/>
    <w:rsid w:val="00DB2411"/>
    <w:rsid w:val="00DB29FC"/>
    <w:rsid w:val="00DB30E6"/>
    <w:rsid w:val="00DB3D51"/>
    <w:rsid w:val="00DB4E8E"/>
    <w:rsid w:val="00DB5481"/>
    <w:rsid w:val="00DB55D0"/>
    <w:rsid w:val="00DB570B"/>
    <w:rsid w:val="00DB579E"/>
    <w:rsid w:val="00DB6590"/>
    <w:rsid w:val="00DB6875"/>
    <w:rsid w:val="00DB6B76"/>
    <w:rsid w:val="00DB750D"/>
    <w:rsid w:val="00DB7796"/>
    <w:rsid w:val="00DC03BC"/>
    <w:rsid w:val="00DC0533"/>
    <w:rsid w:val="00DC0543"/>
    <w:rsid w:val="00DC063B"/>
    <w:rsid w:val="00DC1E1A"/>
    <w:rsid w:val="00DC234A"/>
    <w:rsid w:val="00DC2D50"/>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1755A"/>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6C2"/>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3B90"/>
    <w:rsid w:val="00E43DF9"/>
    <w:rsid w:val="00E43F42"/>
    <w:rsid w:val="00E43F57"/>
    <w:rsid w:val="00E443AA"/>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96B"/>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74D7"/>
    <w:rsid w:val="00E77E6D"/>
    <w:rsid w:val="00E80E4D"/>
    <w:rsid w:val="00E81392"/>
    <w:rsid w:val="00E81D85"/>
    <w:rsid w:val="00E82455"/>
    <w:rsid w:val="00E83267"/>
    <w:rsid w:val="00E836EB"/>
    <w:rsid w:val="00E837F2"/>
    <w:rsid w:val="00E83C8E"/>
    <w:rsid w:val="00E83EF2"/>
    <w:rsid w:val="00E83F0D"/>
    <w:rsid w:val="00E844E2"/>
    <w:rsid w:val="00E84744"/>
    <w:rsid w:val="00E853D1"/>
    <w:rsid w:val="00E854BD"/>
    <w:rsid w:val="00E8553F"/>
    <w:rsid w:val="00E86738"/>
    <w:rsid w:val="00E86972"/>
    <w:rsid w:val="00E86CEA"/>
    <w:rsid w:val="00E87555"/>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976B2"/>
    <w:rsid w:val="00EA02EA"/>
    <w:rsid w:val="00EA0C7C"/>
    <w:rsid w:val="00EA0E3D"/>
    <w:rsid w:val="00EA1F1A"/>
    <w:rsid w:val="00EA22E7"/>
    <w:rsid w:val="00EA2B70"/>
    <w:rsid w:val="00EA2D22"/>
    <w:rsid w:val="00EA2D3F"/>
    <w:rsid w:val="00EA3D3B"/>
    <w:rsid w:val="00EA3E48"/>
    <w:rsid w:val="00EA3FC6"/>
    <w:rsid w:val="00EA456A"/>
    <w:rsid w:val="00EA4B9A"/>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4E"/>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563F"/>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2EB2"/>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09"/>
    <w:rsid w:val="00F219FB"/>
    <w:rsid w:val="00F21BAE"/>
    <w:rsid w:val="00F21E1B"/>
    <w:rsid w:val="00F2212D"/>
    <w:rsid w:val="00F22C22"/>
    <w:rsid w:val="00F24224"/>
    <w:rsid w:val="00F24410"/>
    <w:rsid w:val="00F244B2"/>
    <w:rsid w:val="00F2456F"/>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889"/>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2A7E"/>
    <w:rsid w:val="00F938FC"/>
    <w:rsid w:val="00F93A6D"/>
    <w:rsid w:val="00F9494A"/>
    <w:rsid w:val="00F949C3"/>
    <w:rsid w:val="00F9596B"/>
    <w:rsid w:val="00F96695"/>
    <w:rsid w:val="00F96A0D"/>
    <w:rsid w:val="00F96C9C"/>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551F"/>
    <w:rsid w:val="00FA69C0"/>
    <w:rsid w:val="00FA6C45"/>
    <w:rsid w:val="00FA6D0B"/>
    <w:rsid w:val="00FA7A23"/>
    <w:rsid w:val="00FA7D28"/>
    <w:rsid w:val="00FB06B5"/>
    <w:rsid w:val="00FB08EB"/>
    <w:rsid w:val="00FB096D"/>
    <w:rsid w:val="00FB0A96"/>
    <w:rsid w:val="00FB10C9"/>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4D5C"/>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24034D3"/>
    <w:rsid w:val="1E42525F"/>
    <w:rsid w:val="21443A15"/>
    <w:rsid w:val="2AE9F723"/>
    <w:rsid w:val="2F1FF526"/>
    <w:rsid w:val="3BA95A1D"/>
    <w:rsid w:val="4C4939E2"/>
    <w:rsid w:val="53E62A82"/>
    <w:rsid w:val="572F0EA0"/>
    <w:rsid w:val="66D8EA95"/>
    <w:rsid w:val="6DEF2C5C"/>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11A10488-8662-4E43-B5BA-436A15B01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17</Pages>
  <Words>12962</Words>
  <Characters>73888</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Wageningen University and Research</Company>
  <LinksUpToDate>false</LinksUpToDate>
  <CharactersWithSpaces>86677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2438</cp:revision>
  <dcterms:created xsi:type="dcterms:W3CDTF">2025-02-27T03:42:00Z</dcterms:created>
  <dcterms:modified xsi:type="dcterms:W3CDTF">2025-11-17T14:26:00Z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id="jnjiRUV7"/&gt;&lt;style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