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E8568" w14:textId="77777777" w:rsidR="00581DD1" w:rsidRDefault="00581DD1" w:rsidP="00581DD1">
      <w:pPr>
        <w:jc w:val="both"/>
        <w:rPr>
          <w:rFonts w:ascii="News Gothic" w:hAnsi="News Gothic" w:cs="Calibri"/>
          <w:b/>
          <w:bCs/>
          <w:szCs w:val="22"/>
          <w:lang w:val="en-US"/>
        </w:rPr>
      </w:pPr>
      <w:r w:rsidRPr="00D707E4">
        <w:rPr>
          <w:rFonts w:ascii="News Gothic" w:hAnsi="News Gothic" w:cs="Calibri"/>
          <w:b/>
          <w:bCs/>
          <w:szCs w:val="22"/>
          <w:lang w:val="en-US"/>
        </w:rPr>
        <w:t>Development of improved input price risk management tools for farmers and simulation of their risk reduction potential</w:t>
      </w:r>
      <w:r>
        <w:rPr>
          <w:rFonts w:ascii="News Gothic" w:hAnsi="News Gothic" w:cs="Calibri"/>
          <w:b/>
          <w:bCs/>
          <w:szCs w:val="22"/>
          <w:lang w:val="en-US"/>
        </w:rPr>
        <w:t>.</w:t>
      </w:r>
    </w:p>
    <w:p w14:paraId="7AA0C184" w14:textId="77777777" w:rsidR="00581DD1" w:rsidRDefault="00581DD1" w:rsidP="00581DD1">
      <w:pPr>
        <w:jc w:val="both"/>
        <w:rPr>
          <w:rFonts w:ascii="News Gothic" w:hAnsi="News Gothic" w:cs="Calibri"/>
          <w:b/>
          <w:bCs/>
          <w:szCs w:val="22"/>
          <w:lang w:val="en-US"/>
        </w:rPr>
      </w:pPr>
    </w:p>
    <w:p w14:paraId="233AD5D4" w14:textId="3ECFF675" w:rsidR="00D750CB" w:rsidRDefault="00581DD1" w:rsidP="00581DD1">
      <w:p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 xml:space="preserve">While most of the literature on price risk management focus on output prices, in the past decade fossil energy and energy-intensive inputs at the farm-level have experienced considerable fluctuations, putting farmers overall income and thereby food security at risk. One way to manage this risk is trough financial tools </w:t>
      </w:r>
      <w:r>
        <w:rPr>
          <w:rFonts w:ascii="News Gothic" w:hAnsi="News Gothic" w:cs="Calibri"/>
          <w:lang w:val="en-US"/>
        </w:rPr>
        <w:t>(i.e. forward contracts, futures and options, and price insurances),</w:t>
      </w:r>
      <w:r>
        <w:rPr>
          <w:rFonts w:ascii="Calibri" w:eastAsiaTheme="minorHAnsi" w:hAnsi="Calibri" w:cs="Calibri"/>
          <w:szCs w:val="22"/>
          <w:lang w:val="en-US"/>
        </w:rPr>
        <w:t xml:space="preserve"> but d</w:t>
      </w:r>
      <w:r w:rsidRPr="003912D8">
        <w:rPr>
          <w:rFonts w:ascii="News Gothic" w:hAnsi="News Gothic" w:cs="Calibri"/>
          <w:lang w:val="en-US"/>
        </w:rPr>
        <w:t xml:space="preserve">espite </w:t>
      </w:r>
      <w:r>
        <w:rPr>
          <w:rFonts w:ascii="News Gothic" w:hAnsi="News Gothic" w:cs="Calibri"/>
          <w:lang w:val="en-US"/>
        </w:rPr>
        <w:t>their</w:t>
      </w:r>
      <w:r w:rsidRPr="003912D8">
        <w:rPr>
          <w:rFonts w:ascii="News Gothic" w:hAnsi="News Gothic" w:cs="Calibri"/>
          <w:lang w:val="en-US"/>
        </w:rPr>
        <w:t xml:space="preserve"> benefits in offsetting price risk, the</w:t>
      </w:r>
      <w:r>
        <w:rPr>
          <w:rFonts w:ascii="News Gothic" w:hAnsi="News Gothic" w:cs="Calibri"/>
          <w:lang w:val="en-US"/>
        </w:rPr>
        <w:t>ir</w:t>
      </w:r>
      <w:r w:rsidRPr="003912D8">
        <w:rPr>
          <w:rFonts w:ascii="News Gothic" w:hAnsi="News Gothic" w:cs="Calibri"/>
          <w:lang w:val="en-US"/>
        </w:rPr>
        <w:t xml:space="preserve"> adoption </w:t>
      </w:r>
      <w:r>
        <w:rPr>
          <w:rFonts w:ascii="News Gothic" w:hAnsi="News Gothic" w:cs="Calibri"/>
          <w:lang w:val="en-US"/>
        </w:rPr>
        <w:t>among farmers</w:t>
      </w:r>
      <w:r w:rsidRPr="003912D8">
        <w:rPr>
          <w:rFonts w:ascii="News Gothic" w:hAnsi="News Gothic" w:cs="Calibri"/>
          <w:lang w:val="en-US"/>
        </w:rPr>
        <w:t xml:space="preserve"> remains low.</w:t>
      </w:r>
      <w:r>
        <w:rPr>
          <w:rFonts w:ascii="Calibri" w:eastAsiaTheme="minorHAnsi" w:hAnsi="Calibri" w:cs="Calibri"/>
          <w:szCs w:val="22"/>
          <w:lang w:val="en-US"/>
        </w:rPr>
        <w:t xml:space="preserve"> </w:t>
      </w:r>
      <w:r w:rsidR="00D750CB" w:rsidRPr="00D750CB">
        <w:rPr>
          <w:rFonts w:ascii="Calibri" w:eastAsiaTheme="minorHAnsi" w:hAnsi="Calibri" w:cs="Calibri"/>
          <w:szCs w:val="22"/>
          <w:lang w:val="en-US"/>
        </w:rPr>
        <w:t xml:space="preserve">The use of </w:t>
      </w:r>
      <w:r w:rsidR="00D750CB">
        <w:rPr>
          <w:rFonts w:ascii="Calibri" w:eastAsiaTheme="minorHAnsi" w:hAnsi="Calibri" w:cs="Calibri"/>
          <w:szCs w:val="22"/>
          <w:lang w:val="en-US"/>
        </w:rPr>
        <w:t>financial tools</w:t>
      </w:r>
      <w:r w:rsidR="00D750CB" w:rsidRPr="00D750CB">
        <w:rPr>
          <w:rFonts w:ascii="Calibri" w:eastAsiaTheme="minorHAnsi" w:hAnsi="Calibri" w:cs="Calibri"/>
          <w:szCs w:val="22"/>
          <w:lang w:val="en-US"/>
        </w:rPr>
        <w:t xml:space="preserve"> can be expanded if </w:t>
      </w:r>
      <w:r w:rsidR="00D750CB">
        <w:rPr>
          <w:rFonts w:ascii="Calibri" w:eastAsiaTheme="minorHAnsi" w:hAnsi="Calibri" w:cs="Calibri"/>
          <w:szCs w:val="22"/>
          <w:lang w:val="en-US"/>
        </w:rPr>
        <w:t>these</w:t>
      </w:r>
      <w:r w:rsidR="00D750CB" w:rsidRPr="00D750CB">
        <w:rPr>
          <w:rFonts w:ascii="Calibri" w:eastAsiaTheme="minorHAnsi" w:hAnsi="Calibri" w:cs="Calibri"/>
          <w:szCs w:val="22"/>
          <w:lang w:val="en-US"/>
        </w:rPr>
        <w:t xml:space="preserve"> products can be tailored to the </w:t>
      </w:r>
      <w:r w:rsidR="00D750CB">
        <w:rPr>
          <w:rFonts w:ascii="Calibri" w:eastAsiaTheme="minorHAnsi" w:hAnsi="Calibri" w:cs="Calibri"/>
          <w:szCs w:val="22"/>
          <w:lang w:val="en-US"/>
        </w:rPr>
        <w:t>behavioral preferences of farmers</w:t>
      </w:r>
      <w:r w:rsidR="00441E5E">
        <w:rPr>
          <w:rFonts w:ascii="Calibri" w:eastAsiaTheme="minorHAnsi" w:hAnsi="Calibri" w:cs="Calibri"/>
          <w:szCs w:val="22"/>
          <w:lang w:val="en-US"/>
        </w:rPr>
        <w:t xml:space="preserve"> (cite)</w:t>
      </w:r>
      <w:r w:rsidR="00D750CB" w:rsidRPr="00D750CB">
        <w:rPr>
          <w:rFonts w:ascii="Calibri" w:eastAsiaTheme="minorHAnsi" w:hAnsi="Calibri" w:cs="Calibri"/>
          <w:szCs w:val="22"/>
          <w:lang w:val="en-US"/>
        </w:rPr>
        <w:t>.</w:t>
      </w:r>
    </w:p>
    <w:p w14:paraId="25C2B261" w14:textId="77777777" w:rsidR="00491901" w:rsidRDefault="00491901" w:rsidP="00581DD1">
      <w:pPr>
        <w:autoSpaceDE w:val="0"/>
        <w:autoSpaceDN w:val="0"/>
        <w:adjustRightInd w:val="0"/>
        <w:rPr>
          <w:rFonts w:ascii="Calibri" w:eastAsiaTheme="minorHAnsi" w:hAnsi="Calibri" w:cs="Calibri"/>
          <w:szCs w:val="22"/>
          <w:lang w:val="en-US"/>
        </w:rPr>
      </w:pPr>
    </w:p>
    <w:p w14:paraId="6FD149F5" w14:textId="69B6AFD2" w:rsidR="003B50D0" w:rsidRDefault="003B50D0" w:rsidP="00581DD1">
      <w:pPr>
        <w:autoSpaceDE w:val="0"/>
        <w:autoSpaceDN w:val="0"/>
        <w:adjustRightInd w:val="0"/>
        <w:rPr>
          <w:rFonts w:ascii="Calibri" w:eastAsiaTheme="minorHAnsi" w:hAnsi="Calibri" w:cs="Calibri"/>
          <w:szCs w:val="22"/>
          <w:lang w:val="en-US"/>
        </w:rPr>
      </w:pPr>
      <w:commentRangeStart w:id="0"/>
      <w:r>
        <w:rPr>
          <w:rFonts w:ascii="Times New Roman" w:eastAsiaTheme="minorHAnsi" w:hAnsi="Times New Roman"/>
          <w:szCs w:val="22"/>
          <w:lang w:val="en-US"/>
        </w:rPr>
        <w:t xml:space="preserve">Fertilizer support to agricultural producers in the EU during the 2020-2022 period almost doubled compared to the 2015-2019 average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{"citationID":"YRlrVO9U","properties":{"formattedCitation":"(Jones &amp; Deuss, 2024)","plainCitation":"(Jones &amp; Deuss, 2024)","noteIndex":0},"citationItems":[{"id":126987,"uris":["http://zotero.org/users/14812719/items/8X9EW39J"],"itemData":{"id":126987,"type":"article-journal","container-title":"OECD Food, Agriculture and Fisheries Papers","DOI":"10.1787/43664170-en","title":"Understanding the resilience of fertiliser markets to shocks","URL":"https://www.oecd.org/en/publications/understanding-the-resilience-of-fertiliser-markets-to-shocks_43664170-en.html","volume":"208","author":[{"family":"Jones","given":"D"},{"family":"Deuss","given":"A"}],"accessed":{"date-parts":[["2025",6,13]]},"issued":{"date-parts":[["2024"]]}}}],"schema":"https://github.com/citation-style-language/schema/raw/master/csl-citation.json"} </w:instrText>
      </w:r>
      <w:r>
        <w:rPr>
          <w:rFonts w:ascii="Times New Roman" w:eastAsiaTheme="minorHAnsi" w:hAnsi="Times New Roman"/>
          <w:szCs w:val="22"/>
          <w:lang w:val="en-US"/>
        </w:rPr>
        <w:fldChar w:fldCharType="separate"/>
      </w:r>
      <w:r w:rsidRPr="00E12050">
        <w:rPr>
          <w:rFonts w:ascii="Times New Roman" w:eastAsiaTheme="minorHAnsi" w:hAnsi="Times New Roman"/>
          <w:lang w:val="en-GB"/>
        </w:rPr>
        <w:t>(Jones &amp; Deuss, 2024)</w:t>
      </w:r>
      <w:r>
        <w:rPr>
          <w:rFonts w:ascii="Times New Roman" w:eastAsiaTheme="minorHAnsi" w:hAnsi="Times New Roman"/>
          <w:szCs w:val="22"/>
          <w:lang w:val="en-US"/>
        </w:rPr>
        <w:fldChar w:fldCharType="end"/>
      </w:r>
      <w:r>
        <w:rPr>
          <w:rFonts w:ascii="Times New Roman" w:eastAsiaTheme="minorHAnsi" w:hAnsi="Times New Roman"/>
          <w:szCs w:val="22"/>
          <w:lang w:val="en-US"/>
        </w:rPr>
        <w:t>.</w:t>
      </w:r>
      <w:commentRangeEnd w:id="0"/>
      <w:r>
        <w:rPr>
          <w:rStyle w:val="CommentReference"/>
          <w:rFonts w:ascii="Times New Roman" w:eastAsiaTheme="minorHAnsi" w:hAnsi="Times New Roman"/>
          <w:sz w:val="24"/>
          <w:szCs w:val="22"/>
          <w:lang w:val="en-US"/>
        </w:rPr>
        <w:commentReference w:id="0"/>
      </w:r>
      <w:r>
        <w:rPr>
          <w:rFonts w:ascii="Times New Roman" w:eastAsiaTheme="minorHAnsi" w:hAnsi="Times New Roman"/>
          <w:szCs w:val="22"/>
          <w:lang w:val="en-US"/>
        </w:rPr>
        <w:t xml:space="preserve"> </w:t>
      </w:r>
      <w:commentRangeStart w:id="1"/>
      <w:commentRangeEnd w:id="1"/>
      <w:r>
        <w:rPr>
          <w:rStyle w:val="CommentReference"/>
          <w:rFonts w:ascii="Times New Roman" w:eastAsiaTheme="minorHAnsi" w:hAnsi="Times New Roman"/>
          <w:sz w:val="24"/>
          <w:szCs w:val="22"/>
          <w:lang w:val="en-US"/>
        </w:rPr>
        <w:commentReference w:id="1"/>
      </w:r>
    </w:p>
    <w:p w14:paraId="1E8EDCBB" w14:textId="77777777" w:rsidR="003B50D0" w:rsidRDefault="003B50D0" w:rsidP="00581DD1">
      <w:pPr>
        <w:autoSpaceDE w:val="0"/>
        <w:autoSpaceDN w:val="0"/>
        <w:adjustRightInd w:val="0"/>
        <w:rPr>
          <w:rFonts w:ascii="Calibri" w:eastAsiaTheme="minorHAnsi" w:hAnsi="Calibri" w:cs="Calibri"/>
          <w:szCs w:val="22"/>
          <w:lang w:val="en-US"/>
        </w:rPr>
      </w:pPr>
    </w:p>
    <w:p w14:paraId="5528C3FA" w14:textId="77777777" w:rsidR="003461F1" w:rsidRPr="00FC14D1" w:rsidRDefault="003461F1" w:rsidP="003461F1">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 xml:space="preserve">Farmers typically buy </w:t>
      </w:r>
      <w:r>
        <w:rPr>
          <w:rFonts w:ascii="Times New Roman" w:eastAsiaTheme="minorHAnsi" w:hAnsi="Times New Roman"/>
          <w:szCs w:val="22"/>
          <w:lang w:val="en-US"/>
        </w:rPr>
        <w:t>fertilisers</w:t>
      </w:r>
      <w:r w:rsidRPr="00FC14D1">
        <w:rPr>
          <w:rFonts w:ascii="Times New Roman" w:eastAsiaTheme="minorHAnsi" w:hAnsi="Times New Roman"/>
          <w:szCs w:val="22"/>
          <w:lang w:val="en-US"/>
        </w:rPr>
        <w:t xml:space="preserve"> close to planting. Alternatively, they pre-purchase or order (i.e.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forward contract) </w:t>
      </w:r>
      <w:r>
        <w:rPr>
          <w:rFonts w:ascii="Times New Roman" w:eastAsiaTheme="minorHAnsi" w:hAnsi="Times New Roman"/>
          <w:szCs w:val="22"/>
          <w:lang w:val="en-US"/>
        </w:rPr>
        <w:t>fertiliser</w:t>
      </w:r>
      <w:r w:rsidRPr="00FC14D1">
        <w:rPr>
          <w:rFonts w:ascii="Times New Roman" w:eastAsiaTheme="minorHAnsi" w:hAnsi="Times New Roman"/>
          <w:szCs w:val="22"/>
          <w:lang w:val="en-US"/>
        </w:rPr>
        <w:t xml:space="preserve"> in advance. </w:t>
      </w:r>
      <w:r>
        <w:rPr>
          <w:rFonts w:ascii="Times New Roman" w:eastAsiaTheme="minorHAnsi" w:hAnsi="Times New Roman"/>
          <w:szCs w:val="22"/>
          <w:lang w:val="en-US"/>
        </w:rPr>
        <w:t>The use of price risk management tools</w:t>
      </w:r>
      <w:r w:rsidRPr="00FC14D1">
        <w:rPr>
          <w:rFonts w:ascii="Times New Roman" w:eastAsiaTheme="minorHAnsi" w:hAnsi="Times New Roman"/>
          <w:szCs w:val="22"/>
          <w:lang w:val="en-US"/>
        </w:rPr>
        <w:t xml:space="preserve"> represent </w:t>
      </w:r>
      <w:r>
        <w:rPr>
          <w:rFonts w:ascii="Times New Roman" w:eastAsiaTheme="minorHAnsi" w:hAnsi="Times New Roman"/>
          <w:szCs w:val="22"/>
          <w:lang w:val="en-US"/>
        </w:rPr>
        <w:t>a decisions</w:t>
      </w:r>
      <w:r w:rsidRPr="00FC14D1">
        <w:rPr>
          <w:rFonts w:ascii="Times New Roman" w:eastAsiaTheme="minorHAnsi" w:hAnsi="Times New Roman"/>
          <w:szCs w:val="22"/>
          <w:lang w:val="en-US"/>
        </w:rPr>
        <w:t xml:space="preserve"> under ris</w:t>
      </w:r>
      <w:r>
        <w:rPr>
          <w:rFonts w:ascii="Times New Roman" w:eastAsiaTheme="minorHAnsi" w:hAnsi="Times New Roman"/>
          <w:szCs w:val="22"/>
          <w:lang w:val="en-US"/>
        </w:rPr>
        <w:t>k</w:t>
      </w:r>
      <w:r w:rsidRPr="00FC14D1">
        <w:rPr>
          <w:rFonts w:ascii="Times New Roman" w:eastAsiaTheme="minorHAnsi" w:hAnsi="Times New Roman"/>
          <w:szCs w:val="22"/>
          <w:lang w:val="en-US"/>
        </w:rPr>
        <w:t>. In the current literature, financial price risk management decisions are mainly investigated under an Expected Utility (EU)</w:t>
      </w:r>
      <w:r>
        <w:rPr>
          <w:rFonts w:ascii="Times New Roman" w:eastAsiaTheme="minorHAnsi" w:hAnsi="Times New Roman"/>
          <w:szCs w:val="22"/>
          <w:lang w:val="en-US"/>
        </w:rPr>
        <w:t xml:space="preserve"> </w:t>
      </w:r>
      <w:r w:rsidRPr="00FC14D1">
        <w:rPr>
          <w:rFonts w:ascii="Times New Roman" w:eastAsiaTheme="minorHAnsi" w:hAnsi="Times New Roman"/>
          <w:szCs w:val="22"/>
          <w:lang w:val="en-US"/>
        </w:rPr>
        <w:t xml:space="preserve">representation of risk-averse </w:t>
      </w:r>
      <w:r>
        <w:rPr>
          <w:rFonts w:ascii="Times New Roman" w:eastAsiaTheme="minorHAnsi" w:hAnsi="Times New Roman"/>
          <w:szCs w:val="22"/>
          <w:lang w:val="en-US"/>
        </w:rPr>
        <w:t>behaviour</w:t>
      </w:r>
      <w:r w:rsidRPr="00FC14D1">
        <w:rPr>
          <w:rFonts w:ascii="Times New Roman" w:eastAsiaTheme="minorHAnsi" w:hAnsi="Times New Roman"/>
          <w:szCs w:val="22"/>
          <w:lang w:val="en-US"/>
        </w:rPr>
        <w:t>. Yet farmers’ limited adoption of these tools contradicts EU</w:t>
      </w:r>
      <w:r>
        <w:rPr>
          <w:rFonts w:ascii="Times New Roman" w:eastAsiaTheme="minorHAnsi" w:hAnsi="Times New Roman"/>
          <w:szCs w:val="22"/>
          <w:lang w:val="en-US"/>
        </w:rPr>
        <w:t xml:space="preserve"> theory</w:t>
      </w:r>
      <w:r w:rsidRPr="00FC14D1">
        <w:rPr>
          <w:rFonts w:ascii="Times New Roman" w:eastAsiaTheme="minorHAnsi" w:hAnsi="Times New Roman"/>
          <w:szCs w:val="22"/>
          <w:lang w:val="en-US"/>
        </w:rPr>
        <w:t xml:space="preserve">, and other </w:t>
      </w:r>
      <w:r>
        <w:rPr>
          <w:rFonts w:ascii="Times New Roman" w:eastAsiaTheme="minorHAnsi" w:hAnsi="Times New Roman"/>
          <w:szCs w:val="22"/>
          <w:lang w:val="en-US"/>
        </w:rPr>
        <w:t>behavioural</w:t>
      </w:r>
      <w:r w:rsidRPr="00FC14D1">
        <w:rPr>
          <w:rFonts w:ascii="Times New Roman" w:eastAsiaTheme="minorHAnsi" w:hAnsi="Times New Roman"/>
          <w:szCs w:val="22"/>
          <w:lang w:val="en-US"/>
        </w:rPr>
        <w:t xml:space="preserve"> economic theories have been suggested to better explain adoption decisions</w:t>
      </w:r>
      <w:r>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{"citationID":"jywLqc2i","properties":{"formattedCitation":"(Mattos et al., 2008)","plainCitation":"(Mattos et al., 2008)","dontUpdate":true,"noteIndex":0},"citationItems":[{"id":116994,"uris":["http://zotero.org/groups/5760356/items/TYIXDR84"],"itemData":{"id":116994,"type":"article-journal","abstract":"We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(Spada et al., n.d.; Mattos et al., 2008)</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From this, we conclude that the use of financial tools for price risk management can be expanded if these products are tailored to the </w:t>
      </w:r>
      <w:r>
        <w:rPr>
          <w:rFonts w:ascii="Times New Roman" w:eastAsiaTheme="minorHAnsi" w:hAnsi="Times New Roman"/>
          <w:szCs w:val="22"/>
          <w:lang w:val="en-US"/>
        </w:rPr>
        <w:t>behavioural</w:t>
      </w:r>
      <w:r w:rsidRPr="00FC14D1">
        <w:rPr>
          <w:rFonts w:ascii="Times New Roman" w:eastAsiaTheme="minorHAnsi" w:hAnsi="Times New Roman"/>
          <w:szCs w:val="22"/>
          <w:lang w:val="en-US"/>
        </w:rPr>
        <w:t xml:space="preserve"> preferences of farmers, ensuring that they better align with actual producers’ decision-making </w:t>
      </w:r>
      <w:r>
        <w:rPr>
          <w:rFonts w:ascii="Times New Roman" w:eastAsiaTheme="minorHAnsi" w:hAnsi="Times New Roman"/>
          <w:szCs w:val="22"/>
          <w:lang w:val="en-US"/>
        </w:rPr>
        <w:t>behaviour</w:t>
      </w:r>
      <w:r w:rsidRPr="00FC14D1">
        <w:rPr>
          <w:rFonts w:ascii="Times New Roman" w:eastAsiaTheme="minorHAnsi" w:hAnsi="Times New Roman"/>
          <w:szCs w:val="22"/>
          <w:lang w:val="en-US"/>
        </w:rPr>
        <w:t xml:space="preserve"> </w:t>
      </w:r>
      <w:r>
        <w:rPr>
          <w:rFonts w:ascii="Times New Roman" w:eastAsiaTheme="minorHAnsi" w:hAnsi="Times New Roman"/>
          <w:szCs w:val="22"/>
          <w:lang w:val="en-US"/>
        </w:rPr>
        <w:fldChar w:fldCharType="begin"/>
      </w:r>
      <w:r>
        <w:rPr>
          <w:rFonts w:ascii="Times New Roman" w:eastAsiaTheme="minorHAnsi" w:hAnsi="Times New Roman"/>
          <w:szCs w:val="22"/>
          <w:lang w:val="en-US"/>
        </w:rPr>
        <w:instrText xml:space="preserve"> ADDIN ZOTERO_ITEM CSL_CITATION {"citationID":"3xonkFeG","properties":{"formattedCitation":"(Dalhaus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rFonts w:ascii="Times New Roman" w:eastAsiaTheme="minorHAnsi" w:hAnsi="Times New Roman"/>
          <w:szCs w:val="22"/>
          <w:lang w:val="en-US"/>
        </w:rPr>
        <w:fldChar w:fldCharType="separate"/>
      </w:r>
      <w:r w:rsidRPr="009A5DD6">
        <w:rPr>
          <w:rFonts w:ascii="Times New Roman" w:eastAsiaTheme="minorHAnsi" w:hAnsi="Times New Roman"/>
          <w:lang w:val="en-US"/>
        </w:rPr>
        <w:t>(</w:t>
      </w:r>
      <w:r>
        <w:rPr>
          <w:rFonts w:ascii="Times New Roman" w:eastAsiaTheme="minorHAnsi" w:hAnsi="Times New Roman"/>
          <w:lang w:val="en-US"/>
        </w:rPr>
        <w:t xml:space="preserve">e.g., </w:t>
      </w:r>
      <w:r w:rsidRPr="009A5DD6">
        <w:rPr>
          <w:rFonts w:ascii="Times New Roman" w:eastAsiaTheme="minorHAnsi" w:hAnsi="Times New Roman"/>
          <w:lang w:val="en-US"/>
        </w:rPr>
        <w:t>Dalhaus et al., 2020)</w:t>
      </w:r>
      <w:r>
        <w:rPr>
          <w:rFonts w:ascii="Times New Roman" w:eastAsiaTheme="minorHAnsi" w:hAnsi="Times New Roman"/>
          <w:szCs w:val="22"/>
          <w:lang w:val="en-US"/>
        </w:rPr>
        <w:fldChar w:fldCharType="end"/>
      </w:r>
      <w:r w:rsidRPr="00FC14D1">
        <w:rPr>
          <w:rFonts w:ascii="Times New Roman" w:eastAsiaTheme="minorHAnsi" w:hAnsi="Times New Roman"/>
          <w:szCs w:val="22"/>
          <w:lang w:val="en-US"/>
        </w:rPr>
        <w:t xml:space="preserve">. Understanding farmers' decisions regarding </w:t>
      </w:r>
      <w:r>
        <w:rPr>
          <w:rFonts w:ascii="Times New Roman" w:eastAsiaTheme="minorHAnsi" w:hAnsi="Times New Roman"/>
          <w:szCs w:val="22"/>
          <w:lang w:val="en-US"/>
        </w:rPr>
        <w:t>fertiliser</w:t>
      </w:r>
      <w:r w:rsidRPr="00FC14D1">
        <w:rPr>
          <w:rFonts w:ascii="Times New Roman" w:eastAsiaTheme="minorHAnsi" w:hAnsi="Times New Roman"/>
          <w:szCs w:val="22"/>
          <w:lang w:val="en-US"/>
        </w:rPr>
        <w:t xml:space="preserve"> price risk management and incorporating </w:t>
      </w:r>
      <w:r>
        <w:rPr>
          <w:rFonts w:ascii="Times New Roman" w:eastAsiaTheme="minorHAnsi" w:hAnsi="Times New Roman"/>
          <w:szCs w:val="22"/>
          <w:lang w:val="en-US"/>
        </w:rPr>
        <w:t>behavioural</w:t>
      </w:r>
      <w:r w:rsidRPr="00FC14D1">
        <w:rPr>
          <w:rFonts w:ascii="Times New Roman" w:eastAsiaTheme="minorHAnsi" w:hAnsi="Times New Roman"/>
          <w:szCs w:val="22"/>
          <w:lang w:val="en-US"/>
        </w:rPr>
        <w:t xml:space="preserve"> preferences in financial tools contract design is</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therefore</w:t>
      </w:r>
      <w:r>
        <w:rPr>
          <w:rFonts w:ascii="Times New Roman" w:eastAsiaTheme="minorHAnsi" w:hAnsi="Times New Roman"/>
          <w:szCs w:val="22"/>
          <w:lang w:val="en-US"/>
        </w:rPr>
        <w:t>,</w:t>
      </w:r>
      <w:r w:rsidRPr="00FC14D1">
        <w:rPr>
          <w:rFonts w:ascii="Times New Roman" w:eastAsiaTheme="minorHAnsi" w:hAnsi="Times New Roman"/>
          <w:szCs w:val="22"/>
          <w:lang w:val="en-US"/>
        </w:rPr>
        <w:t xml:space="preserve"> a relevant approach to enhancing financial tools adoption.</w:t>
      </w:r>
    </w:p>
    <w:p w14:paraId="683BB201" w14:textId="77777777" w:rsidR="003461F1" w:rsidRDefault="003461F1" w:rsidP="00581DD1">
      <w:pPr>
        <w:autoSpaceDE w:val="0"/>
        <w:autoSpaceDN w:val="0"/>
        <w:adjustRightInd w:val="0"/>
        <w:rPr>
          <w:rFonts w:ascii="Calibri" w:eastAsiaTheme="minorHAnsi" w:hAnsi="Calibri" w:cs="Calibri"/>
          <w:szCs w:val="22"/>
          <w:lang w:val="en-US"/>
        </w:rPr>
      </w:pPr>
    </w:p>
    <w:p w14:paraId="3486DAC0" w14:textId="0E6E9C0C" w:rsidR="00491901" w:rsidRDefault="00491901" w:rsidP="00581DD1">
      <w:pPr>
        <w:autoSpaceDE w:val="0"/>
        <w:autoSpaceDN w:val="0"/>
        <w:adjustRightInd w:val="0"/>
        <w:rPr>
          <w:rFonts w:ascii="Calibri" w:eastAsiaTheme="minorHAnsi" w:hAnsi="Calibri" w:cs="Calibri"/>
          <w:szCs w:val="22"/>
          <w:lang w:val="en-US"/>
        </w:rPr>
      </w:pPr>
      <w:r w:rsidRPr="00491901">
        <w:rPr>
          <w:lang w:val="en-GB"/>
        </w:rPr>
        <w:t>Fertilizer support to agricultural producers in the EU heavily increased in the 2020-2022 period when it averaged 27.1 billion USD annually. This accounts for 6% of total producer support nearly doubled from the 2015-2019 average of 15 billion USD (about 3% of total producer support).</w:t>
      </w:r>
    </w:p>
    <w:p w14:paraId="6316263A" w14:textId="63C5748E" w:rsidR="004D2B6E" w:rsidRDefault="004D2B6E" w:rsidP="00581DD1">
      <w:pPr>
        <w:autoSpaceDE w:val="0"/>
        <w:autoSpaceDN w:val="0"/>
        <w:adjustRightInd w:val="0"/>
        <w:rPr>
          <w:rFonts w:ascii="Calibri" w:eastAsiaTheme="minorHAnsi" w:hAnsi="Calibri" w:cs="Calibri"/>
          <w:szCs w:val="22"/>
          <w:lang w:val="en-US"/>
        </w:rPr>
      </w:pPr>
    </w:p>
    <w:p w14:paraId="6786208E" w14:textId="02EF7953" w:rsidR="00DC453C" w:rsidRPr="00DC453C" w:rsidRDefault="006C3BFE" w:rsidP="00581DD1">
      <w:pPr>
        <w:autoSpaceDE w:val="0"/>
        <w:autoSpaceDN w:val="0"/>
        <w:adjustRightInd w:val="0"/>
        <w:rPr>
          <w:rFonts w:ascii="Calibri" w:eastAsiaTheme="minorHAnsi" w:hAnsi="Calibri" w:cs="Calibri"/>
          <w:szCs w:val="22"/>
          <w:lang w:val="en-US"/>
        </w:rPr>
      </w:pPr>
      <w:r>
        <w:rPr>
          <w:noProof/>
        </w:rPr>
        <w:drawing>
          <wp:inline distT="0" distB="0" distL="0" distR="0" wp14:anchorId="380E2884" wp14:editId="58438997">
            <wp:extent cx="5943600" cy="2515235"/>
            <wp:effectExtent l="0" t="0" r="0" b="0"/>
            <wp:docPr id="1" name="Chart 1">
              <a:extLst xmlns:a="http://schemas.openxmlformats.org/drawingml/2006/main">
                <a:ext uri="{FF2B5EF4-FFF2-40B4-BE49-F238E27FC236}">
                  <a16:creationId xmlns:a16="http://schemas.microsoft.com/office/drawing/2014/main" id="{82584733-7A7E-E8C0-5B0E-69BB59B65F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54528AE" w14:textId="170C9949" w:rsidR="00396B5E" w:rsidRPr="00396B5E"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lastRenderedPageBreak/>
        <w:t>Notes: Monthly indices based on nominal US dollars, 2010=100</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Fertilizer Price Index (in Percent): 16.9 natural phosphate rock, 21.7 phosphate, 20.1 potassium, 41.3 nitrogenous</w:t>
      </w:r>
      <w:r>
        <w:rPr>
          <w:rFonts w:ascii="Calibri" w:eastAsiaTheme="minorHAnsi" w:hAnsi="Calibri" w:cs="Calibri"/>
          <w:sz w:val="18"/>
          <w:szCs w:val="18"/>
          <w:lang w:val="en-US"/>
        </w:rPr>
        <w:t xml:space="preserve">; </w:t>
      </w:r>
      <w:r w:rsidRPr="00396B5E">
        <w:rPr>
          <w:rFonts w:ascii="Calibri" w:eastAsiaTheme="minorHAnsi" w:hAnsi="Calibri" w:cs="Calibri"/>
          <w:sz w:val="18"/>
          <w:szCs w:val="18"/>
          <w:lang w:val="en-US"/>
        </w:rPr>
        <w:t>Weights used in the World Bank Energy Price Index (in Percent): 4.7 coal, 84.6 crude oil, 10.8 natural gas</w:t>
      </w:r>
    </w:p>
    <w:p w14:paraId="3A600A55" w14:textId="5936908C" w:rsidR="00DC453C" w:rsidRDefault="00396B5E" w:rsidP="00396B5E">
      <w:pPr>
        <w:autoSpaceDE w:val="0"/>
        <w:autoSpaceDN w:val="0"/>
        <w:adjustRightInd w:val="0"/>
        <w:rPr>
          <w:rFonts w:ascii="Calibri" w:eastAsiaTheme="minorHAnsi" w:hAnsi="Calibri" w:cs="Calibri"/>
          <w:sz w:val="18"/>
          <w:szCs w:val="18"/>
          <w:lang w:val="en-US"/>
        </w:rPr>
      </w:pPr>
      <w:r w:rsidRPr="00396B5E">
        <w:rPr>
          <w:rFonts w:ascii="Calibri" w:eastAsiaTheme="minorHAnsi" w:hAnsi="Calibri" w:cs="Calibri"/>
          <w:sz w:val="18"/>
          <w:szCs w:val="18"/>
          <w:lang w:val="en-US"/>
        </w:rPr>
        <w:t>Source: World Bank monthly commodity prices data "Pink Sheet" March 2024</w:t>
      </w:r>
    </w:p>
    <w:p w14:paraId="02755912" w14:textId="77777777" w:rsidR="00396B5E" w:rsidRPr="00396B5E" w:rsidRDefault="00396B5E" w:rsidP="00396B5E">
      <w:pPr>
        <w:autoSpaceDE w:val="0"/>
        <w:autoSpaceDN w:val="0"/>
        <w:adjustRightInd w:val="0"/>
        <w:rPr>
          <w:rFonts w:ascii="Calibri" w:eastAsiaTheme="minorHAnsi" w:hAnsi="Calibri" w:cs="Calibri"/>
          <w:sz w:val="18"/>
          <w:szCs w:val="18"/>
          <w:lang w:val="en-US"/>
        </w:rPr>
      </w:pPr>
    </w:p>
    <w:p w14:paraId="23678B4E" w14:textId="77777777" w:rsidR="00F01B28" w:rsidRPr="001F7F4D" w:rsidRDefault="00F01B28" w:rsidP="00F01B28">
      <w:pPr>
        <w:autoSpaceDE w:val="0"/>
        <w:autoSpaceDN w:val="0"/>
        <w:adjustRightInd w:val="0"/>
        <w:jc w:val="center"/>
        <w:rPr>
          <w:rFonts w:ascii="News Gothic" w:hAnsi="News Gothic" w:cs="Calibri"/>
          <w:b/>
          <w:bCs/>
          <w:szCs w:val="22"/>
          <w:lang w:val="en-US"/>
        </w:rPr>
      </w:pPr>
      <w:r w:rsidRPr="001F7F4D">
        <w:rPr>
          <w:rFonts w:ascii="News Gothic" w:hAnsi="News Gothic" w:cs="Calibri"/>
          <w:b/>
          <w:bCs/>
          <w:szCs w:val="22"/>
          <w:lang w:val="en-US"/>
        </w:rPr>
        <w:t>Financial tool considered</w:t>
      </w:r>
    </w:p>
    <w:p w14:paraId="4F27CE38" w14:textId="7B87A692" w:rsidR="00B320B5"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Forward</w:t>
      </w:r>
    </w:p>
    <w:p w14:paraId="1E4BD0E6" w14:textId="7EB806CE" w:rsidR="00F0027D" w:rsidRPr="00463DD7" w:rsidRDefault="00F0027D" w:rsidP="00463DD7">
      <w:pPr>
        <w:pStyle w:val="ListParagraph"/>
        <w:numPr>
          <w:ilvl w:val="0"/>
          <w:numId w:val="5"/>
        </w:numPr>
        <w:autoSpaceDE w:val="0"/>
        <w:autoSpaceDN w:val="0"/>
        <w:adjustRightInd w:val="0"/>
        <w:rPr>
          <w:rFonts w:ascii="Calibri" w:eastAsiaTheme="minorHAnsi" w:hAnsi="Calibri" w:cs="Calibri"/>
          <w:szCs w:val="22"/>
          <w:lang w:val="en-US"/>
        </w:rPr>
      </w:pPr>
      <w:r>
        <w:rPr>
          <w:rFonts w:ascii="Calibri" w:eastAsiaTheme="minorHAnsi" w:hAnsi="Calibri" w:cs="Calibri"/>
          <w:szCs w:val="22"/>
          <w:lang w:val="en-US"/>
        </w:rPr>
        <w:t>Price insurance</w:t>
      </w:r>
    </w:p>
    <w:p w14:paraId="4529AA47" w14:textId="7CF1406C" w:rsidR="00C36197" w:rsidRDefault="00C36197" w:rsidP="00E976D1">
      <w:pPr>
        <w:autoSpaceDE w:val="0"/>
        <w:autoSpaceDN w:val="0"/>
        <w:adjustRightInd w:val="0"/>
        <w:rPr>
          <w:rFonts w:ascii="News Gothic" w:hAnsi="News Gothic" w:cs="Calibri"/>
          <w:b/>
          <w:bCs/>
          <w:szCs w:val="22"/>
          <w:lang w:val="en-US"/>
        </w:rPr>
      </w:pPr>
    </w:p>
    <w:p w14:paraId="5A0A30F4" w14:textId="4E0187BB" w:rsidR="004D2B6E" w:rsidRPr="002237B7" w:rsidRDefault="004D2B6E" w:rsidP="002237B7">
      <w:pPr>
        <w:autoSpaceDE w:val="0"/>
        <w:autoSpaceDN w:val="0"/>
        <w:adjustRightInd w:val="0"/>
        <w:jc w:val="center"/>
        <w:rPr>
          <w:rFonts w:ascii="News Gothic" w:hAnsi="News Gothic" w:cs="Calibri"/>
          <w:b/>
          <w:bCs/>
          <w:szCs w:val="22"/>
          <w:lang w:val="en-US"/>
        </w:rPr>
      </w:pPr>
      <w:r w:rsidRPr="004D2B6E">
        <w:rPr>
          <w:rFonts w:ascii="News Gothic" w:hAnsi="News Gothic" w:cs="Calibri"/>
          <w:b/>
          <w:bCs/>
          <w:szCs w:val="22"/>
          <w:lang w:val="en-US"/>
        </w:rPr>
        <w:t>Behavioral adjustments</w:t>
      </w:r>
    </w:p>
    <w:p w14:paraId="34F00F68" w14:textId="07AF976A" w:rsidR="004D2B6E"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Loss aversion</w:t>
      </w:r>
    </w:p>
    <w:p w14:paraId="0705857B" w14:textId="139C9351"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Probability weighting </w:t>
      </w:r>
    </w:p>
    <w:p w14:paraId="508080CB" w14:textId="23BC29D5" w:rsidR="00F0027D" w:rsidRDefault="00F0027D"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 xml:space="preserve">Reference dependence </w:t>
      </w:r>
    </w:p>
    <w:p w14:paraId="2B95C630" w14:textId="0BE274AF" w:rsidR="00F0027D" w:rsidRDefault="00CD003C" w:rsidP="00F0027D">
      <w:pPr>
        <w:pStyle w:val="ListParagraph"/>
        <w:numPr>
          <w:ilvl w:val="0"/>
          <w:numId w:val="6"/>
        </w:numPr>
        <w:autoSpaceDE w:val="0"/>
        <w:autoSpaceDN w:val="0"/>
        <w:adjustRightInd w:val="0"/>
        <w:rPr>
          <w:rFonts w:ascii="News Gothic" w:hAnsi="News Gothic" w:cs="Calibri"/>
          <w:szCs w:val="22"/>
          <w:lang w:val="en-US"/>
        </w:rPr>
      </w:pPr>
      <w:r>
        <w:rPr>
          <w:rFonts w:ascii="News Gothic" w:hAnsi="News Gothic" w:cs="Calibri"/>
          <w:szCs w:val="22"/>
          <w:lang w:val="en-US"/>
        </w:rPr>
        <w:t>Ambiguity aversion</w:t>
      </w:r>
    </w:p>
    <w:p w14:paraId="304D382C" w14:textId="77777777" w:rsidR="004D2B6E" w:rsidRDefault="004D2B6E" w:rsidP="004D2B6E">
      <w:pPr>
        <w:autoSpaceDE w:val="0"/>
        <w:autoSpaceDN w:val="0"/>
        <w:adjustRightInd w:val="0"/>
        <w:rPr>
          <w:rFonts w:ascii="News Gothic" w:hAnsi="News Gothic" w:cs="Calibri"/>
          <w:szCs w:val="22"/>
          <w:lang w:val="en-US"/>
        </w:rPr>
      </w:pPr>
    </w:p>
    <w:p w14:paraId="042CE3E3" w14:textId="1A254BA0" w:rsidR="00581DD1" w:rsidRDefault="00581DD1" w:rsidP="00581DD1">
      <w:pPr>
        <w:autoSpaceDE w:val="0"/>
        <w:autoSpaceDN w:val="0"/>
        <w:adjustRightInd w:val="0"/>
        <w:rPr>
          <w:rFonts w:ascii="News Gothic" w:hAnsi="News Gothic" w:cs="Calibri"/>
          <w:szCs w:val="22"/>
          <w:lang w:val="en-US"/>
        </w:rPr>
      </w:pPr>
      <w:r w:rsidRPr="00D707E4">
        <w:rPr>
          <w:rFonts w:ascii="News Gothic" w:hAnsi="News Gothic" w:cs="Calibri"/>
          <w:szCs w:val="22"/>
          <w:lang w:val="en-US"/>
        </w:rPr>
        <w:t xml:space="preserve">In a simulation exercise </w:t>
      </w:r>
      <w:r>
        <w:rPr>
          <w:rFonts w:ascii="News Gothic" w:hAnsi="News Gothic" w:cs="Calibri"/>
          <w:szCs w:val="22"/>
          <w:lang w:val="en-US"/>
        </w:rPr>
        <w:t>we</w:t>
      </w:r>
      <w:r w:rsidRPr="00D707E4">
        <w:rPr>
          <w:rFonts w:ascii="News Gothic" w:hAnsi="News Gothic" w:cs="Calibri"/>
          <w:szCs w:val="22"/>
          <w:lang w:val="en-US"/>
        </w:rPr>
        <w:t xml:space="preserve"> will </w:t>
      </w:r>
      <w:r w:rsidR="00BD2280">
        <w:rPr>
          <w:rFonts w:ascii="News Gothic" w:hAnsi="News Gothic" w:cs="Calibri"/>
          <w:szCs w:val="22"/>
          <w:lang w:val="en-US"/>
        </w:rPr>
        <w:t xml:space="preserve">use data derived from a </w:t>
      </w:r>
      <w:r w:rsidR="0023427C">
        <w:rPr>
          <w:rFonts w:ascii="News Gothic" w:hAnsi="News Gothic" w:cs="Calibri"/>
          <w:szCs w:val="22"/>
          <w:lang w:val="en-US"/>
        </w:rPr>
        <w:t>crop</w:t>
      </w:r>
      <w:r w:rsidR="006D2ADA">
        <w:rPr>
          <w:rFonts w:ascii="News Gothic" w:hAnsi="News Gothic" w:cs="Calibri"/>
          <w:szCs w:val="22"/>
          <w:lang w:val="en-US"/>
        </w:rPr>
        <w:t xml:space="preserve"> </w:t>
      </w:r>
      <w:r w:rsidR="0023427C">
        <w:rPr>
          <w:rFonts w:ascii="News Gothic" w:hAnsi="News Gothic" w:cs="Calibri"/>
          <w:szCs w:val="22"/>
          <w:lang w:val="en-US"/>
        </w:rPr>
        <w:t>grow</w:t>
      </w:r>
      <w:r w:rsidR="006D2ADA">
        <w:rPr>
          <w:rFonts w:ascii="News Gothic" w:hAnsi="News Gothic" w:cs="Calibri"/>
          <w:szCs w:val="22"/>
          <w:lang w:val="en-US"/>
        </w:rPr>
        <w:t>th</w:t>
      </w:r>
      <w:r w:rsidR="00BD2280">
        <w:rPr>
          <w:rFonts w:ascii="News Gothic" w:hAnsi="News Gothic" w:cs="Calibri"/>
          <w:szCs w:val="22"/>
          <w:lang w:val="en-US"/>
        </w:rPr>
        <w:t xml:space="preserve"> model (FarmDyn) </w:t>
      </w:r>
      <w:r w:rsidR="006D2ADA">
        <w:rPr>
          <w:rFonts w:ascii="News Gothic" w:hAnsi="News Gothic" w:cs="Calibri"/>
          <w:szCs w:val="22"/>
          <w:lang w:val="en-US"/>
        </w:rPr>
        <w:t>based on</w:t>
      </w:r>
      <w:r w:rsidR="001E05E8">
        <w:rPr>
          <w:rFonts w:ascii="News Gothic" w:hAnsi="News Gothic" w:cs="Calibri"/>
          <w:szCs w:val="22"/>
          <w:lang w:val="en-US"/>
        </w:rPr>
        <w:t xml:space="preserve"> </w:t>
      </w:r>
      <w:r w:rsidR="00BD2280">
        <w:rPr>
          <w:rFonts w:ascii="News Gothic" w:hAnsi="News Gothic" w:cs="Calibri"/>
          <w:szCs w:val="22"/>
          <w:lang w:val="en-US"/>
        </w:rPr>
        <w:t>data</w:t>
      </w:r>
      <w:r w:rsidR="00BD2280" w:rsidRPr="00D707E4">
        <w:rPr>
          <w:rFonts w:ascii="News Gothic" w:hAnsi="News Gothic" w:cs="Calibri"/>
          <w:szCs w:val="22"/>
          <w:lang w:val="en-US"/>
        </w:rPr>
        <w:t xml:space="preserve"> o</w:t>
      </w:r>
      <w:r w:rsidR="006D2ADA">
        <w:rPr>
          <w:rFonts w:ascii="News Gothic" w:hAnsi="News Gothic" w:cs="Calibri"/>
          <w:szCs w:val="22"/>
          <w:lang w:val="en-US"/>
        </w:rPr>
        <w:t>f</w:t>
      </w:r>
      <w:r w:rsidR="00BD2280">
        <w:rPr>
          <w:rFonts w:ascii="News Gothic" w:hAnsi="News Gothic" w:cs="Calibri"/>
          <w:szCs w:val="22"/>
          <w:lang w:val="en-US"/>
        </w:rPr>
        <w:t xml:space="preserve"> representative </w:t>
      </w:r>
      <w:r w:rsidR="006D2ADA">
        <w:rPr>
          <w:rFonts w:ascii="News Gothic" w:hAnsi="News Gothic" w:cs="Calibri"/>
          <w:szCs w:val="22"/>
          <w:lang w:val="en-US"/>
        </w:rPr>
        <w:t xml:space="preserve">FADN </w:t>
      </w:r>
      <w:r w:rsidR="00BD2280">
        <w:rPr>
          <w:rFonts w:ascii="News Gothic" w:hAnsi="News Gothic" w:cs="Calibri"/>
          <w:szCs w:val="22"/>
          <w:lang w:val="en-US"/>
        </w:rPr>
        <w:t>farms</w:t>
      </w:r>
      <w:r w:rsidR="001E05E8">
        <w:rPr>
          <w:rFonts w:ascii="News Gothic" w:hAnsi="News Gothic" w:cs="Calibri"/>
          <w:szCs w:val="22"/>
          <w:lang w:val="en-US"/>
        </w:rPr>
        <w:t xml:space="preserve">, to </w:t>
      </w:r>
      <w:r w:rsidRPr="00D707E4">
        <w:rPr>
          <w:rFonts w:ascii="News Gothic" w:hAnsi="News Gothic" w:cs="Calibri"/>
          <w:szCs w:val="22"/>
          <w:lang w:val="en-US"/>
        </w:rPr>
        <w:t>make an ex-ante assessment</w:t>
      </w:r>
      <w:r>
        <w:rPr>
          <w:rFonts w:ascii="News Gothic" w:hAnsi="News Gothic" w:cs="Calibri"/>
          <w:szCs w:val="22"/>
          <w:lang w:val="en-US"/>
        </w:rPr>
        <w:t xml:space="preserve"> of the impact </w:t>
      </w:r>
      <w:r w:rsidR="00170B5F">
        <w:rPr>
          <w:rFonts w:ascii="News Gothic" w:hAnsi="News Gothic" w:cs="Calibri"/>
          <w:szCs w:val="22"/>
          <w:lang w:val="en-US"/>
        </w:rPr>
        <w:t xml:space="preserve">the improved financial tools </w:t>
      </w:r>
      <w:r>
        <w:rPr>
          <w:rFonts w:ascii="News Gothic" w:hAnsi="News Gothic" w:cs="Calibri"/>
          <w:szCs w:val="22"/>
          <w:lang w:val="en-US"/>
        </w:rPr>
        <w:t>on the objective function</w:t>
      </w:r>
      <w:r w:rsidR="00170B5F">
        <w:rPr>
          <w:rFonts w:ascii="News Gothic" w:hAnsi="News Gothic" w:cs="Calibri"/>
          <w:color w:val="000000"/>
          <w:szCs w:val="22"/>
          <w:lang w:val="en-US"/>
        </w:rPr>
        <w:t>.</w:t>
      </w:r>
      <w:r w:rsidR="004D2B6E">
        <w:rPr>
          <w:rFonts w:ascii="News Gothic" w:hAnsi="News Gothic" w:cs="Calibri"/>
          <w:color w:val="000000"/>
          <w:szCs w:val="22"/>
          <w:lang w:val="en-US"/>
        </w:rPr>
        <w:t xml:space="preserve"> </w:t>
      </w:r>
    </w:p>
    <w:p w14:paraId="02F1E657" w14:textId="151E55E0" w:rsidR="004D2B6E" w:rsidRDefault="004D2B6E" w:rsidP="00581DD1">
      <w:pPr>
        <w:autoSpaceDE w:val="0"/>
        <w:autoSpaceDN w:val="0"/>
        <w:adjustRightInd w:val="0"/>
        <w:rPr>
          <w:rFonts w:ascii="News Gothic" w:hAnsi="News Gothic" w:cs="Calibri"/>
          <w:szCs w:val="22"/>
          <w:lang w:val="en-US"/>
        </w:rPr>
      </w:pPr>
    </w:p>
    <w:p w14:paraId="7B119CA0" w14:textId="23B79BB2" w:rsidR="002A7DED" w:rsidRDefault="002A7DED" w:rsidP="00581DD1">
      <w:pPr>
        <w:autoSpaceDE w:val="0"/>
        <w:autoSpaceDN w:val="0"/>
        <w:adjustRightInd w:val="0"/>
        <w:rPr>
          <w:rFonts w:ascii="News Gothic" w:hAnsi="News Gothic" w:cs="Calibri"/>
          <w:szCs w:val="22"/>
          <w:lang w:val="en-US"/>
        </w:rPr>
      </w:pPr>
      <w:r>
        <w:rPr>
          <w:rFonts w:ascii="News Gothic" w:hAnsi="News Gothic" w:cs="Calibri"/>
          <w:szCs w:val="22"/>
          <w:lang w:val="en-US"/>
        </w:rPr>
        <w:t xml:space="preserve">The </w:t>
      </w:r>
      <w:r w:rsidR="00F94034">
        <w:rPr>
          <w:rFonts w:ascii="News Gothic" w:hAnsi="News Gothic" w:cs="Calibri"/>
          <w:szCs w:val="22"/>
          <w:lang w:val="en-US"/>
        </w:rPr>
        <w:t xml:space="preserve">information derived from the bio-economic model will enter an economic decision model </w:t>
      </w:r>
    </w:p>
    <w:p w14:paraId="45B64FAE" w14:textId="7E1BB301" w:rsidR="004D2B6E" w:rsidRDefault="004D2B6E" w:rsidP="00581DD1">
      <w:pPr>
        <w:autoSpaceDE w:val="0"/>
        <w:autoSpaceDN w:val="0"/>
        <w:adjustRightInd w:val="0"/>
        <w:rPr>
          <w:rFonts w:ascii="News Gothic" w:hAnsi="News Gothic" w:cs="Calibri"/>
          <w:szCs w:val="22"/>
          <w:lang w:val="en-US"/>
        </w:rPr>
      </w:pPr>
    </w:p>
    <w:p w14:paraId="246F668E" w14:textId="77777777" w:rsidR="008844A8" w:rsidRPr="008844A8" w:rsidRDefault="008844A8" w:rsidP="008844A8">
      <w:pPr>
        <w:jc w:val="both"/>
        <w:rPr>
          <w:lang w:val="en-US"/>
        </w:rPr>
      </w:pPr>
      <w:r w:rsidRPr="008844A8">
        <w:rPr>
          <w:lang w:val="en-US"/>
        </w:rPr>
        <w:t>The theoretical framework is based on a multistage production timeline, along which input and output prices are risky in future time steps and deterministic in current and past time steps (</w:t>
      </w:r>
      <w:r w:rsidRPr="59478C1A">
        <w:fldChar w:fldCharType="begin"/>
      </w:r>
      <w:r w:rsidRPr="008844A8">
        <w:rPr>
          <w:lang w:val="en-US"/>
        </w:rPr>
        <w:instrText xml:space="preserve"> REF _Ref169533915 \h  \* MERGEFORMAT </w:instrText>
      </w:r>
      <w:r w:rsidRPr="59478C1A">
        <w:fldChar w:fldCharType="separate"/>
      </w:r>
      <w:r w:rsidRPr="008844A8">
        <w:rPr>
          <w:lang w:val="en-US"/>
        </w:rPr>
        <w:t xml:space="preserve">Figure </w:t>
      </w:r>
      <w:r w:rsidRPr="008844A8">
        <w:rPr>
          <w:noProof/>
          <w:lang w:val="en-US"/>
        </w:rPr>
        <w:t>1</w:t>
      </w:r>
      <w:r w:rsidRPr="59478C1A">
        <w:fldChar w:fldCharType="end"/>
      </w:r>
      <w:r w:rsidRPr="008844A8">
        <w:rPr>
          <w:lang w:val="en-US"/>
        </w:rPr>
        <w:t>).</w:t>
      </w:r>
    </w:p>
    <w:p w14:paraId="60BE1220" w14:textId="77777777" w:rsidR="008844A8" w:rsidRPr="008844A8" w:rsidRDefault="008844A8" w:rsidP="008844A8">
      <w:pPr>
        <w:jc w:val="both"/>
        <w:rPr>
          <w:noProof/>
          <w:szCs w:val="24"/>
          <w:lang w:val="en-US"/>
        </w:rPr>
      </w:pPr>
    </w:p>
    <w:p w14:paraId="76CA4CD5" w14:textId="77777777" w:rsidR="008844A8" w:rsidRDefault="008844A8" w:rsidP="008844A8">
      <w:pPr>
        <w:keepNext/>
        <w:jc w:val="both"/>
      </w:pPr>
      <w:r>
        <w:rPr>
          <w:noProof/>
          <w:szCs w:val="24"/>
        </w:rPr>
        <w:drawing>
          <wp:inline distT="0" distB="0" distL="0" distR="0" wp14:anchorId="11C1EAB9" wp14:editId="39D83259">
            <wp:extent cx="5943600" cy="3246167"/>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rotWithShape="1">
                    <a:blip r:embed="rId12" cstate="print">
                      <a:extLst>
                        <a:ext uri="{28A0092B-C50C-407E-A947-70E740481C1C}">
                          <a14:useLocalDpi xmlns:a14="http://schemas.microsoft.com/office/drawing/2010/main" val="0"/>
                        </a:ext>
                      </a:extLst>
                    </a:blip>
                    <a:srcRect t="42735"/>
                    <a:stretch/>
                  </pic:blipFill>
                  <pic:spPr bwMode="auto">
                    <a:xfrm>
                      <a:off x="0" y="0"/>
                      <a:ext cx="5943600" cy="3246167"/>
                    </a:xfrm>
                    <a:prstGeom prst="rect">
                      <a:avLst/>
                    </a:prstGeom>
                    <a:ln>
                      <a:noFill/>
                    </a:ln>
                    <a:extLst>
                      <a:ext uri="{53640926-AAD7-44D8-BBD7-CCE9431645EC}">
                        <a14:shadowObscured xmlns:a14="http://schemas.microsoft.com/office/drawing/2010/main"/>
                      </a:ext>
                    </a:extLst>
                  </pic:spPr>
                </pic:pic>
              </a:graphicData>
            </a:graphic>
          </wp:inline>
        </w:drawing>
      </w:r>
    </w:p>
    <w:p w14:paraId="49F28735" w14:textId="77777777" w:rsidR="008844A8" w:rsidRPr="008844A8" w:rsidRDefault="008844A8" w:rsidP="008844A8">
      <w:pPr>
        <w:pStyle w:val="Caption"/>
        <w:jc w:val="both"/>
        <w:rPr>
          <w:rFonts w:ascii="Times New Roman" w:hAnsi="Times New Roman"/>
          <w:color w:val="auto"/>
          <w:szCs w:val="24"/>
          <w:lang w:val="en-US"/>
        </w:rPr>
      </w:pPr>
      <w:bookmarkStart w:id="2" w:name="_Ref169533915"/>
      <w:commentRangeStart w:id="3"/>
      <w:r w:rsidRPr="008844A8">
        <w:rPr>
          <w:rFonts w:ascii="Times New Roman" w:hAnsi="Times New Roman"/>
          <w:b/>
          <w:bCs/>
          <w:color w:val="auto"/>
          <w:lang w:val="en-US"/>
        </w:rPr>
        <w:t xml:space="preserve">Figure </w:t>
      </w:r>
      <w:r w:rsidRPr="00DF442C">
        <w:rPr>
          <w:rFonts w:ascii="Times New Roman" w:hAnsi="Times New Roman"/>
          <w:b/>
          <w:bCs/>
          <w:color w:val="auto"/>
        </w:rPr>
        <w:fldChar w:fldCharType="begin"/>
      </w:r>
      <w:r w:rsidRPr="008844A8">
        <w:rPr>
          <w:rFonts w:ascii="Times New Roman" w:hAnsi="Times New Roman"/>
          <w:b/>
          <w:bCs/>
          <w:color w:val="auto"/>
          <w:lang w:val="en-US"/>
        </w:rPr>
        <w:instrText xml:space="preserve"> SEQ Figure \* ARABIC </w:instrText>
      </w:r>
      <w:r w:rsidRPr="00DF442C">
        <w:rPr>
          <w:rFonts w:ascii="Times New Roman" w:hAnsi="Times New Roman"/>
          <w:b/>
          <w:bCs/>
          <w:color w:val="auto"/>
        </w:rPr>
        <w:fldChar w:fldCharType="separate"/>
      </w:r>
      <w:r w:rsidRPr="008844A8">
        <w:rPr>
          <w:rFonts w:ascii="Times New Roman" w:hAnsi="Times New Roman"/>
          <w:b/>
          <w:bCs/>
          <w:noProof/>
          <w:color w:val="auto"/>
          <w:lang w:val="en-US"/>
        </w:rPr>
        <w:t>1</w:t>
      </w:r>
      <w:r w:rsidRPr="00DF442C">
        <w:rPr>
          <w:rFonts w:ascii="Times New Roman" w:hAnsi="Times New Roman"/>
          <w:b/>
          <w:bCs/>
          <w:color w:val="auto"/>
        </w:rPr>
        <w:fldChar w:fldCharType="end"/>
      </w:r>
      <w:bookmarkEnd w:id="2"/>
      <w:r w:rsidRPr="008844A8">
        <w:rPr>
          <w:rFonts w:ascii="Times New Roman" w:hAnsi="Times New Roman"/>
          <w:color w:val="auto"/>
          <w:lang w:val="en-US"/>
        </w:rPr>
        <w:t xml:space="preserve">. </w:t>
      </w:r>
      <w:commentRangeEnd w:id="3"/>
      <w:r>
        <w:rPr>
          <w:rStyle w:val="CommentReference"/>
          <w:rFonts w:eastAsiaTheme="majorEastAsia"/>
          <w:iCs w:val="0"/>
          <w:color w:val="auto"/>
        </w:rPr>
        <w:commentReference w:id="3"/>
      </w:r>
      <w:r w:rsidRPr="008844A8">
        <w:rPr>
          <w:rFonts w:ascii="Times New Roman" w:hAnsi="Times New Roman"/>
          <w:color w:val="auto"/>
          <w:lang w:val="en-US"/>
        </w:rPr>
        <w:t>Financial tools and decision making under risk</w:t>
      </w:r>
    </w:p>
    <w:p w14:paraId="49C2E23E" w14:textId="77777777" w:rsidR="008844A8" w:rsidRDefault="008844A8" w:rsidP="00581DD1">
      <w:pPr>
        <w:autoSpaceDE w:val="0"/>
        <w:autoSpaceDN w:val="0"/>
        <w:adjustRightInd w:val="0"/>
        <w:rPr>
          <w:rFonts w:ascii="News Gothic" w:hAnsi="News Gothic" w:cs="Calibri"/>
          <w:szCs w:val="22"/>
          <w:lang w:val="en-US"/>
        </w:rPr>
      </w:pPr>
    </w:p>
    <w:p w14:paraId="07AF23AE" w14:textId="77777777" w:rsidR="004D2B6E" w:rsidRPr="004D2B6E" w:rsidRDefault="004D2B6E" w:rsidP="00581DD1">
      <w:pPr>
        <w:autoSpaceDE w:val="0"/>
        <w:autoSpaceDN w:val="0"/>
        <w:adjustRightInd w:val="0"/>
        <w:rPr>
          <w:rFonts w:ascii="News Gothic" w:hAnsi="News Gothic" w:cs="Calibri"/>
          <w:color w:val="000000"/>
          <w:szCs w:val="22"/>
          <w:lang w:val="en-US"/>
        </w:rPr>
      </w:pPr>
    </w:p>
    <w:p w14:paraId="4F3B30E9" w14:textId="6C143285" w:rsidR="002A63D3" w:rsidRDefault="00B800EF" w:rsidP="00B800EF">
      <w:pPr>
        <w:pStyle w:val="Heading2"/>
        <w:rPr>
          <w:lang w:val="en-US"/>
        </w:rPr>
      </w:pPr>
      <w:r>
        <w:rPr>
          <w:lang w:val="en-US"/>
        </w:rPr>
        <w:lastRenderedPageBreak/>
        <w:t>Literature review</w:t>
      </w:r>
    </w:p>
    <w:p w14:paraId="242A280A" w14:textId="77777777" w:rsidR="00306FF7" w:rsidRPr="0010574E" w:rsidRDefault="00306FF7" w:rsidP="00306FF7">
      <w:pPr>
        <w:jc w:val="both"/>
        <w:rPr>
          <w:i/>
          <w:iCs/>
          <w:lang w:val="en-US"/>
        </w:rPr>
      </w:pPr>
      <w:r w:rsidRPr="0010574E">
        <w:rPr>
          <w:i/>
          <w:iCs/>
          <w:lang w:val="en-US"/>
        </w:rPr>
        <w:t xml:space="preserve">Literature </w:t>
      </w:r>
      <w:r>
        <w:rPr>
          <w:i/>
          <w:iCs/>
          <w:lang w:val="en-US"/>
        </w:rPr>
        <w:t>on</w:t>
      </w:r>
      <w:r w:rsidRPr="0010574E">
        <w:rPr>
          <w:i/>
          <w:iCs/>
          <w:lang w:val="en-US"/>
        </w:rPr>
        <w:t xml:space="preserve"> </w:t>
      </w:r>
      <w:r>
        <w:rPr>
          <w:i/>
          <w:iCs/>
          <w:lang w:val="en-US"/>
        </w:rPr>
        <w:t>behavioural</w:t>
      </w:r>
      <w:r w:rsidRPr="0010574E">
        <w:rPr>
          <w:i/>
          <w:iCs/>
          <w:lang w:val="en-US"/>
        </w:rPr>
        <w:t xml:space="preserve"> contract design</w:t>
      </w:r>
    </w:p>
    <w:p w14:paraId="004ECCA5" w14:textId="77777777" w:rsidR="00306FF7" w:rsidRDefault="00306FF7" w:rsidP="00306FF7">
      <w:pPr>
        <w:jc w:val="both"/>
        <w:rPr>
          <w:lang w:val="en-US"/>
        </w:rPr>
      </w:pPr>
      <w:r>
        <w:rPr>
          <w:lang w:val="en-US"/>
        </w:rPr>
        <w:t xml:space="preserve">Behavioural adjustments of contract design have been gaining traction in many fields. Optimal contract design under CPT decision-making behaviour has been derived mathematically, both for insurance </w:t>
      </w:r>
      <w:r>
        <w:rPr>
          <w:lang w:val="en-US"/>
        </w:rPr>
        <w:fldChar w:fldCharType="begin"/>
      </w:r>
      <w:r>
        <w:rPr>
          <w:lang w:val="en-US"/>
        </w:rPr>
        <w:instrText xml:space="preserve"> ADDIN ZOTERO_ITEM CSL_CITATION {"citationID":"8cs014MK","properties":{"formattedCitation":"(Sung et al., 2011)","plainCitation":"(Sung et al., 2011)","noteIndex":0},"citationItems":[{"id":61533,"uris":["http://zotero.org/users/14812719/items/3MIR4K9B"],"itemData":{"id":61533,"type":"article-journal","abstract":"The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D53776">
        <w:rPr>
          <w:lang w:val="en-US"/>
        </w:rPr>
        <w:t>(Sung et al., 2011)</w:t>
      </w:r>
      <w:r>
        <w:rPr>
          <w:lang w:val="en-US"/>
        </w:rPr>
        <w:fldChar w:fldCharType="end"/>
      </w:r>
      <w:r w:rsidRPr="00D53776">
        <w:rPr>
          <w:lang w:val="en-US"/>
        </w:rPr>
        <w:t xml:space="preserve"> </w:t>
      </w:r>
      <w:r>
        <w:rPr>
          <w:lang w:val="en-US"/>
        </w:rPr>
        <w:t>and labor contracts</w:t>
      </w:r>
      <w:r w:rsidRPr="00D53776">
        <w:rPr>
          <w:lang w:val="en-US"/>
        </w:rPr>
        <w:t xml:space="preserve"> </w:t>
      </w:r>
      <w:r>
        <w:rPr>
          <w:lang w:val="en-US"/>
        </w:rPr>
        <w:t>(</w:t>
      </w:r>
      <w:r>
        <w:rPr>
          <w:lang w:val="en-US"/>
        </w:rPr>
        <w:fldChar w:fldCharType="begin"/>
      </w:r>
      <w:r>
        <w:rPr>
          <w:lang w:val="en-US"/>
        </w:rPr>
        <w:instrText xml:space="preserve"> ADDIN ZOTERO_ITEM CSL_CITATION {"citationID":"L3hhf8Y6","properties":{"formattedCitation":"(Lukas,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306FF7">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7146B5">
        <w:t>Lukas, 2018)</w:t>
      </w:r>
      <w:r>
        <w:rPr>
          <w:lang w:val="en-US"/>
        </w:rPr>
        <w:fldChar w:fldCharType="end"/>
      </w:r>
      <w:r w:rsidRPr="007146B5">
        <w:t xml:space="preserve">. </w:t>
      </w:r>
      <w:r>
        <w:rPr>
          <w:lang w:val="en-US"/>
        </w:rPr>
        <w:fldChar w:fldCharType="begin"/>
      </w:r>
      <w:r>
        <w:instrText xml:space="preserve"> ADDIN ZOTERO_ITEM CSL_CITATION {"citationID":"6XDcOwOZ","properties":{"formattedCitation":"(Sung et al., 2011)","plainCitation":"(Sung et al., 2011)","dontUpdate":true,"noteIndex":0},"citationItems":[{"id":61533,"uris":["http://zotero.org/users/14812719/items/3MIR4K9B"],"itemData":{"id":61533,"type":"article-journal","abstract":"The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Pr>
          <w:lang w:val="en-US"/>
        </w:rPr>
        <w:fldChar w:fldCharType="separate"/>
      </w:r>
      <w:r w:rsidRPr="007146B5">
        <w:t>Sung et al. (2011)</w:t>
      </w:r>
      <w:r>
        <w:rPr>
          <w:lang w:val="en-US"/>
        </w:rPr>
        <w:fldChar w:fldCharType="end"/>
      </w:r>
      <w:r w:rsidRPr="007146B5">
        <w:t xml:space="preserve"> found that with </w:t>
      </w:r>
      <w:r>
        <w:t>a</w:t>
      </w:r>
      <w:r w:rsidRPr="007146B5">
        <w:t xml:space="preserve"> fixed premium, the optimal insurance is a </w:t>
      </w:r>
      <w:r>
        <w:t>generalised</w:t>
      </w:r>
      <w:r w:rsidRPr="007146B5">
        <w:t xml:space="preserve"> insurance layer</w:t>
      </w:r>
      <w:r>
        <w:t>,</w:t>
      </w:r>
      <w:r w:rsidRPr="00327C48">
        <w:rPr>
          <w:rStyle w:val="FootnoteReference"/>
          <w:rFonts w:eastAsiaTheme="majorEastAsia"/>
        </w:rPr>
        <w:footnoteReference w:id="1"/>
      </w:r>
      <w:r w:rsidRPr="007146B5">
        <w:t xml:space="preserve"> and when the premium is also a decision variable, the optimal insurance should provide no deductibles. </w:t>
      </w:r>
      <w:r>
        <w:rPr>
          <w:lang w:val="en-US"/>
        </w:rPr>
        <w:fldChar w:fldCharType="begin"/>
      </w:r>
      <w:r>
        <w:instrText xml:space="preserve"> ADDIN ZOTERO_ITEM CSL_CITATION {"citationID":"kZJnFRBd","properties":{"formattedCitation":"(Lukas, 2018)","plainCitation":"(Lukas, 2018)","dontUpdate":true,"noteIndex":0},"citationItems":[{"id":61529,"uris":["http://zotero.org/users/14812719/items/Y4KHLIJN"],"itemData":{"id":61529,"type":"chapter","abstract":"In this chapter I summarize and elaborate on some of the findings from the analytical literature on incentive contract design. After a short introduction to the standard agency model, behavioural extensions of the model are discussed. Both the analysis of loss aversion and identity utility can offer explanations for</w:instrText>
      </w:r>
      <w:r w:rsidRPr="00D75AA4">
        <w:rPr>
          <w:lang w:val="en-GB"/>
        </w:rPr>
        <w:instrText xml:space="preserve"> the popularity of bonus contracts or low-powered incentive schemes. Incentive contracts usually span multiple periods. For this reason the multi-period extension of the standard model is presented with focus on the frequency of performance evaluations. Depending on the specific long-term effect of effort, a high informativeness or low informativeness of performance signals leads to optimality of infrequent performance evaluations. The solution concept to incentive contract design problems is subgame-perfection. I present thoughts about possible problems associated with that concept and about available alternatives with an eye on incentive contract design.","co</w:instrText>
      </w:r>
      <w:r w:rsidRPr="00306FF7">
        <w:rPr>
          <w:lang w:val="en-GB"/>
        </w:rPr>
        <w:instrText xml:space="preserve">ntainer-title":"Game Theory in Management Accounting: Implementing Incentives and Fairness","event-place":"Cham","ISBN":"978-3-319-61603-2","language":"en","note":"DOI: 10.1007/978-3-319-61603-2_3","page":"49-69","publisher":"Springer International Publishing","publisher-place":"Cham","source":"Springer Link","title":"Optimal Design of Incentive Contracts: Behavioural and Multi-Period Performance Measurement Aspects","title-short":"Optimal Design of Incentive Contracts","URL":"https://doi.org/10.1007/978-3-319-61603-2_3","author":[{"family":"Lukas","given":"Christian"}],"editor":[{"family":"Mueller","given":"David"},{"family":"Trost","given":"Ralf"}],"accessed":{"date-parts":[["2025",5,12]]},"issued":{"date-parts":[["2018"]]}}}],"schema":"https://github.com/citation-style-language/schema/raw/master/csl-citation.json"} </w:instrText>
      </w:r>
      <w:r>
        <w:rPr>
          <w:lang w:val="en-US"/>
        </w:rPr>
        <w:fldChar w:fldCharType="separate"/>
      </w:r>
      <w:r w:rsidRPr="00E55C75">
        <w:rPr>
          <w:lang w:val="en-US"/>
        </w:rPr>
        <w:t>Lukas (2018)</w:t>
      </w:r>
      <w:r>
        <w:rPr>
          <w:lang w:val="en-US"/>
        </w:rPr>
        <w:fldChar w:fldCharType="end"/>
      </w:r>
      <w:r w:rsidRPr="00E55C75">
        <w:rPr>
          <w:lang w:val="en-US"/>
        </w:rPr>
        <w:t xml:space="preserve"> summarizes findings from the literature on </w:t>
      </w:r>
      <w:r>
        <w:rPr>
          <w:lang w:val="en-US"/>
        </w:rPr>
        <w:t>behavioural</w:t>
      </w:r>
      <w:r w:rsidRPr="00E55C75">
        <w:rPr>
          <w:lang w:val="en-US"/>
        </w:rPr>
        <w:t xml:space="preserve"> extensions to labor contract design and </w:t>
      </w:r>
      <w:r>
        <w:rPr>
          <w:lang w:val="en-US"/>
        </w:rPr>
        <w:t>concludes</w:t>
      </w:r>
      <w:r w:rsidRPr="00E55C75">
        <w:rPr>
          <w:lang w:val="en-US"/>
        </w:rPr>
        <w:t xml:space="preserve"> that under loss aversion, the optimal contract </w:t>
      </w:r>
      <w:r>
        <w:rPr>
          <w:lang w:val="en-US"/>
        </w:rPr>
        <w:t>minimises</w:t>
      </w:r>
      <w:r w:rsidRPr="00E55C75">
        <w:rPr>
          <w:lang w:val="en-US"/>
        </w:rPr>
        <w:t xml:space="preserve"> variation in payments while maintaining incentives through bonuses.</w:t>
      </w:r>
      <w:r>
        <w:rPr>
          <w:lang w:val="en-US"/>
        </w:rPr>
        <w:t xml:space="preserve"> </w:t>
      </w:r>
      <w:r>
        <w:rPr>
          <w:lang w:val="en-US"/>
        </w:rPr>
        <w:fldChar w:fldCharType="begin"/>
      </w:r>
      <w:r>
        <w:rPr>
          <w:lang w:val="en-US"/>
        </w:rPr>
        <w:instrText xml:space="preserve"> ADDIN ZOTERO_ITEM CSL_CITATION {"citationID":"Hxp1gmi1","properties":{"formattedCitation":"(Johnsen et al., 2019)","plainCitation":"(Johnsen et al., 2019)","dontUpdate":true,"noteIndex":0},"citationItems":[{"id":61519,"uris":["http://zotero.org/users/14812719/items/92HHXLZ7"],"itemData":{"id":61519,"type":"article-journal","abstract":"ABSTRACT\n            We investigate the capacity investment decision of a supplier who produces a critical component for a buyer. An incentive conflict is present, because the buyer possesses private forecast information about end customer demand. We use laboratory experiments to test the performance of nonlinear capacity reservation contracts offered by the supplier. We show that both bounded rationality and fairness preferences consistently lead to buyer contract choices that harm supplier performance and overall supply chain performance. We therefore examine several capacity reservation contracts that take into account the buyer's inability to maximize utility (bounded rationality) and/or the buyer's motives (inequity aversion). We find that considering these behavioral aspects in contract design enhances supply chain performance.","container-title":"Decision Sciences","DOI":"10.1111/deci.12352","ISSN":"0011-7315, 1540-5915","issue":"4","journalAbbreviation":"Decision Sciences","language":"en","page":"786-815","source":"DOI.org (Crossref)","title":"Behavioral Contract Design Under Asymmetric Forecast Information","volume":"50","author":[{"family":"Johnsen","given":"Lennart C."},{"family":"Voigt","given":"Guido"},{"family":"Corbett","given":"Charles J."}],"issued":{"date-parts":[["2019",8]]}}}],"schema":"https://github.com/citation-style-language/schema/raw/master/csl-citation.json"} </w:instrText>
      </w:r>
      <w:r>
        <w:rPr>
          <w:lang w:val="en-US"/>
        </w:rPr>
        <w:fldChar w:fldCharType="separate"/>
      </w:r>
      <w:r w:rsidRPr="00982A12">
        <w:rPr>
          <w:lang w:val="en-US"/>
        </w:rPr>
        <w:t xml:space="preserve">Johnsen et al. </w:t>
      </w:r>
      <w:r>
        <w:rPr>
          <w:lang w:val="en-US"/>
        </w:rPr>
        <w:t>(</w:t>
      </w:r>
      <w:r w:rsidRPr="00982A12">
        <w:rPr>
          <w:lang w:val="en-US"/>
        </w:rPr>
        <w:t>2019)</w:t>
      </w:r>
      <w:r>
        <w:rPr>
          <w:lang w:val="en-US"/>
        </w:rPr>
        <w:fldChar w:fldCharType="end"/>
      </w:r>
      <w:r>
        <w:rPr>
          <w:lang w:val="en-US"/>
        </w:rPr>
        <w:t xml:space="preserve"> investigate the behavioural adjustment of non-linear capacity reservation</w:t>
      </w:r>
      <w:r w:rsidRPr="00B5380E">
        <w:rPr>
          <w:lang w:val="en-US"/>
        </w:rPr>
        <w:t xml:space="preserve"> contracts</w:t>
      </w:r>
      <w:r>
        <w:rPr>
          <w:lang w:val="en-US"/>
        </w:rPr>
        <w:t xml:space="preserve"> </w:t>
      </w:r>
      <w:r w:rsidRPr="00B5380E">
        <w:rPr>
          <w:lang w:val="en-US"/>
        </w:rPr>
        <w:t>in a supply chain with asymmetric demand information</w:t>
      </w:r>
      <w:r>
        <w:rPr>
          <w:lang w:val="en-US"/>
        </w:rPr>
        <w:t>. The authors show that</w:t>
      </w:r>
      <w:r w:rsidRPr="00B5380E">
        <w:rPr>
          <w:lang w:val="en-US"/>
        </w:rPr>
        <w:t xml:space="preserve"> behaviorally adapted </w:t>
      </w:r>
      <w:r w:rsidRPr="0006671E">
        <w:rPr>
          <w:lang w:val="en-US"/>
        </w:rPr>
        <w:t>contracts that account for bounded rationality</w:t>
      </w:r>
      <w:r>
        <w:rPr>
          <w:lang w:val="en-US"/>
        </w:rPr>
        <w:t xml:space="preserve"> (i.e. when</w:t>
      </w:r>
      <w:r w:rsidRPr="00FC0B11">
        <w:rPr>
          <w:lang w:val="en-US"/>
        </w:rPr>
        <w:t xml:space="preserve"> people rely on simplified models, rules of thumb, or heuristics to make choices that are “good enough” under the circumstances</w:t>
      </w:r>
      <w:r>
        <w:rPr>
          <w:lang w:val="en-US"/>
        </w:rPr>
        <w:t>)</w:t>
      </w:r>
      <w:r w:rsidRPr="0006671E">
        <w:rPr>
          <w:lang w:val="en-US"/>
        </w:rPr>
        <w:t xml:space="preserve"> and fairness preferences</w:t>
      </w:r>
      <w:r>
        <w:rPr>
          <w:lang w:val="en-US"/>
        </w:rPr>
        <w:t xml:space="preserve"> (also called inequity aversion, r</w:t>
      </w:r>
      <w:r w:rsidRPr="00382DE6">
        <w:rPr>
          <w:lang w:val="en-US"/>
        </w:rPr>
        <w:t>efers to a desire for equitable or just outcomes in social or economic interactions</w:t>
      </w:r>
      <w:r>
        <w:rPr>
          <w:lang w:val="en-US"/>
        </w:rPr>
        <w:t>)</w:t>
      </w:r>
      <w:r w:rsidRPr="0006671E">
        <w:rPr>
          <w:lang w:val="en-US"/>
        </w:rPr>
        <w:t xml:space="preserve"> can </w:t>
      </w:r>
      <w:r>
        <w:rPr>
          <w:lang w:val="en-US"/>
        </w:rPr>
        <w:t>improve</w:t>
      </w:r>
      <w:r w:rsidRPr="0006671E">
        <w:rPr>
          <w:lang w:val="en-US"/>
        </w:rPr>
        <w:t xml:space="preserve"> supply chain </w:t>
      </w:r>
      <w:r>
        <w:rPr>
          <w:lang w:val="en-US"/>
        </w:rPr>
        <w:t>efficiency</w:t>
      </w:r>
      <w:r w:rsidRPr="0006671E">
        <w:rPr>
          <w:lang w:val="en-US"/>
        </w:rPr>
        <w:t>.</w:t>
      </w:r>
      <w:r>
        <w:rPr>
          <w:lang w:val="en-US"/>
        </w:rPr>
        <w:t xml:space="preserve"> Finally, in the field of Agricultural Economics, crop insurance contracts design have been behaviorally adjusted to better align with farmers’ preferences under CPT </w:t>
      </w:r>
      <w:r>
        <w:rPr>
          <w:lang w:val="en-US"/>
        </w:rPr>
        <w:fldChar w:fldCharType="begin"/>
      </w:r>
      <w:r>
        <w:rPr>
          <w:lang w:val="en-US"/>
        </w:rPr>
        <w:instrText xml:space="preserve"> ADDIN ZOTERO_ITEM CSL_CITATION {"citationID":"c12qucd4","properties":{"formattedCitation":"(Dalhaus et al., 2020)","plainCitation":"(Dalhaus et al., 2020)","noteIndex":0},"citationItems":[{"id":61535,"uris":["http://zotero.org/users/14812719/items/EZ9IZJWH"],"itemData":{"id":61535,"type":"article-journal","container-title":"PLOS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Pr>
          <w:lang w:val="en-US"/>
        </w:rPr>
        <w:fldChar w:fldCharType="separate"/>
      </w:r>
      <w:r w:rsidRPr="005B5BE7">
        <w:rPr>
          <w:lang w:val="en-US"/>
        </w:rPr>
        <w:t>(Dalhaus et al., 2020)</w:t>
      </w:r>
      <w:r>
        <w:rPr>
          <w:lang w:val="en-US"/>
        </w:rPr>
        <w:fldChar w:fldCharType="end"/>
      </w:r>
      <w:r>
        <w:rPr>
          <w:lang w:val="en-US"/>
        </w:rPr>
        <w:t>. The authors find that a multi-year contract with premium payments only in years of no crop losses (or at the end of the contract if none) can increase an insurance’s prospect value under narrow framing.</w:t>
      </w:r>
    </w:p>
    <w:p w14:paraId="7E823271" w14:textId="77777777" w:rsidR="00A55553" w:rsidRDefault="00A55553" w:rsidP="00DC2D06">
      <w:pPr>
        <w:jc w:val="both"/>
        <w:rPr>
          <w:lang w:val="en-US"/>
        </w:rPr>
      </w:pPr>
    </w:p>
    <w:p w14:paraId="1CDC9F3D" w14:textId="77777777" w:rsidR="00A55553" w:rsidRPr="0010574E" w:rsidRDefault="00A55553" w:rsidP="00A55553">
      <w:pPr>
        <w:jc w:val="both"/>
        <w:rPr>
          <w:i/>
          <w:iCs/>
          <w:lang w:val="en-US"/>
        </w:rPr>
      </w:pPr>
      <w:r w:rsidRPr="0010574E">
        <w:rPr>
          <w:i/>
          <w:iCs/>
          <w:lang w:val="en-US"/>
        </w:rPr>
        <w:t>Lit on forward contract</w:t>
      </w:r>
    </w:p>
    <w:p w14:paraId="56D5B89B" w14:textId="77777777" w:rsidR="00A55553" w:rsidRDefault="00A55553" w:rsidP="00A55553">
      <w:pPr>
        <w:jc w:val="both"/>
        <w:rPr>
          <w:lang w:val="en-US"/>
        </w:rPr>
      </w:pPr>
      <w:r>
        <w:rPr>
          <w:lang w:val="en-US"/>
        </w:rPr>
        <w:t xml:space="preserve">The usage of forward contract in the literature has been mainly investigated under an EUT framework that considers farmers risk preferences </w:t>
      </w:r>
      <w:r>
        <w:rPr>
          <w:lang w:val="en-US"/>
        </w:rPr>
        <w:fldChar w:fldCharType="begin"/>
      </w:r>
      <w:r>
        <w:rPr>
          <w:lang w:val="en-US"/>
        </w:rPr>
        <w:instrText xml:space="preserve"> ADDIN ZOTERO_ITEM CSL_CITATION {"citationID":"vbyvvv6w","properties":{"unsorted":true,"formattedCitation":"(Grant, 1985; Parcel &amp; Langemeijer, 1997; Gilbert et al., 2006; Bielza et al., 2007; Loy &amp; Pieniadz, 2009)","plainCitation":"(Grant, 1985; Parcel &amp; Langemeijer, 1997; Gilbert et al., 2006; Bielza et al., 2007; Loy &amp; Pieniadz, 2009)","noteIndex":0},"citationItems":[{"id":116984,"uris":["http://zotero.org/groups/5760356/items/TZI8LT5C"],"itemData":{"id":116984,"type":"article-journal","abstract":"Expected utility maximizing farmers facing just price risk or both price risk and quantity risk behave similady in the absence of a forward market. If forward contracting is possible, that is not true because variation in the commodity price affects a farmer's wealth through the value of his futures position, the value of his output and through the covariance between price and output. This covariance affects a farmer' s optimal scale of production, his optimal forward position and the interrelationship between the scale of production and forward trading.","container-title":"American Journal of Agricultural Economics","DOI":"10.2307/1241086","language":"en","page":"630-635","title":"Theory of the Firm with Joint Price and Output Risk and a Forward Market","volume":"67","author":[{"family":"Grant","given":"Dwight"}],"issued":{"date-parts":[["1985"]]}}},{"id":116999,"uris":["http://zotero.org/groups/5760356/items/K3PWZ9FY"],"itemData":{"id":116999,"type":"article-journal","abstract":"The purpose of this study is to determine the minimum level of contract payments required to produce hogs under a production contract. Required payments needed for contract growing to be preferred to independent production for the average‐profit, slightly risk‐averse, feeder‐pig producer and for the high‐profit, moderately to strongly risk‐averse, feeder‐pig producer are found to be similar to those currently offered by contractors. Feeder‐pig finishers with average profit levels would either have to be strongly risk‐averse or expect economic profits to fall to zero to prefer contracting over independent production. Low‐profit feeder‐pig finishers who are moderately to strongly risk‐averse would prefer contracting. Feeder‐pig finishers who historically have experienced above‐average profits would require payments substantially above current contract rates to prefer contracting.\n          , \n            L'objet de cette étude est de déterminer le seuil de paiement contractuel requis pour inciter les producteurs de porcs à passer des contrats de production. Nous avons constaté que les niveaux de paiement actuellement affert par les contracteurs correspondent aux niveaux requis pour rendre la production sous‐contrat référable à la production libre, tant aux yeux du naisseur de porcs d'engraissement qui recherche un profit moyen sans trop de souci pour les risques que de celui qui espère un niveau de profitélevé avec le moins de risques possibles. Quant aux engraisseurs à niveau de profit moyen, il faudrait soit qu'il soit complètement ennemi du risque ou qu'ils envisagent que leur rentabilité puisse descendre à zéro pour les inciter à produire ous‐contrat. En revanche les engraisseurs à faible niveau de rentabilité et modérément à fortement soucieux des risques préféreraient la production sous‐contrat. Les engraisseurs qui auparavant ont enregistré des bénéfices supérieurs à la moyenne auraient besoin de paiements contractuels sensiblement supérieurs aux taux en vigueur pour les inciter à adopter la","container-title":"Canadian Journal of Agricultural Economics/Revue canadienne d'agroeconomie","DOI":"10.1111/j.1744-7976.1997.tb00211.x","ISSN":"0008-3976, 1744-7976","issue":"3","journalAbbreviation":"Canadian J Agri Economics","language":"en","license":"http://onlinelibrary.wiley.com/termsAndConditions#vor","page":"317-327","source":"DOI.org (Crossref)","title":"Feeder‐pig Producers and Finishers: Who Should Contract?","title-short":"Feeder‐pig Producers and Finishers","volume":"45","author":[{"family":"Parcel","given":"Joseph L."},{"family":"Langemeijer","given":"Michael R."}],"issued":{"date-parts":[["1997",11]]}}},{"id":117394,"uris":["http://zotero.org/groups/5760356/items/YRSM9HRY"],"itemData":{"id":117394,"type":"article-journal","abstract":"The impact of skewness in the hedger's objective function is tested using a model of hedging derived from a third-order Taylor Series approximation of expected utility. To determine the effect of price skewness upon hedging and speculation, analytical results are derived using an example of cotton storage. Findings suggest that when forward risk premiums and price skewness in the spot asset have opposite signs, speculation increases relative to the mean-variance model. When the signs are identical, speculation will decrease, contradicting findings of mean-variance models. (c) 2006 Wiley Periodicals, Inc.","container-title":"Journal of Futures Markets","DOI":"10.1002/fut.20201","ISSN":"0270-7314","issue":"5","language":"English","page":"503-520","title":"The impact of skewness in the hedging decision","volume":"26","author":[{"family":"Gilbert","given":"S"},{"family":"Jones","given":"SK"},{"family":"Morris","given":"GH"}],"issued":{"date-parts":[["2006",5]]}}},{"id":117244,"uris":["http://zotero.org/groups/5760356/items/A2Z47VJM"],"itemData":{"id":117244,"type":"article-journal","abstract":"This article offers a comprehensive analysis of the problem of choosing between alternative market risk management instruments. We model farmers' behavior to optimize the certainty equivalent, formulated by a mean-variance model, by combining instruments with and without basis risk. Results are expressed as the demands for hedging with futures, forward contracts and insurance. Theoretical results are applied to a selection of Spanish producers of fresh potatoes, a sector that is exposed to significant market risks. Amsterdam's Euronext provides potato futures prices, and the recently launched revenue insurance in Spain provides the example for price insurance. Three conclusions summarize the article's main findings. First, we show that Spanish potato revenue insurance subsidies are a factor that determines the instrument rankings and choice. Second, the efficiency of insurance subsidies is generally low. Finally, the Amsterdam potato futures market does not provide a cost-effective means to manage price risks for Spanish fresh potato growers. © 2007 International Association of Agricultural Economists.","container-title":"Agricultural Economics","DOI":"10.1111/j.1574-0862.2007.00177.x","issue":"1","page":"67-78","title":"Finding optimal price risk management instruments: The case of the Spanish potato sector","volume":"36","author":[{"family":"Bielza","given":"M."},{"family":"Garrido","given":"A."},{"family":"Sumpsi","given":"J.M."}],"issued":{"date-parts":[["2007"]]}}},{"id":116992,"uris":["http://zotero.org/groups/5760356/items/7639KVN8"],"itemData":{"id":116992,"type":"article-journal","abstract":"Increasing grain price volatility over the last year has revived the discussion on optimal marketing strategies. Various models of optimal grain marketing have been proposed and simulated in the literature. In this study, an overview of these models is presented and critical aspects are discussed. Optimal strategies are then applied to the wheat market in Germany and Poland. The results show that gains from optimal marketing are rather small and uncertain in the real world, indicating that scientific assistance may be of limited importance when using only publicly available information. However, an understanding of optimization and price-generating processes is likely to improve farmers’ decisions – in particular when additional (private) information to improve price forecasts is available.","container-title":"Outlook on Agriculture","DOI":"10.5367/000000009787762761","ISSN":"0030-7270, 2043-6866","issue":"1","journalAbbreviation":"Outlook Agric","language":"en","license":"https://journals.sagepub.com/page/policies/text-and-data-mining-license","page":"47-54","source":"DOI.org (Crossref)","title":"Optimal Grain Marketing Revisited: A German and Polish Perspective","title-short":"Optimal Grain Marketing Revisited","volume":"38","author":[{"family":"Loy","given":"Jens-Peter"},{"family":"Pieniadz","given":"Agata"}],"issued":{"date-parts":[["2009",3]]}}}],"schema":"https://github.com/citation-style-language/schema/raw/master/csl-citation.json"} </w:instrText>
      </w:r>
      <w:r>
        <w:rPr>
          <w:lang w:val="en-US"/>
        </w:rPr>
        <w:fldChar w:fldCharType="separate"/>
      </w:r>
      <w:r w:rsidRPr="00FA3A80">
        <w:rPr>
          <w:lang w:val="en-GB"/>
        </w:rPr>
        <w:t>(</w:t>
      </w:r>
      <w:r>
        <w:rPr>
          <w:lang w:val="en-GB"/>
        </w:rPr>
        <w:t xml:space="preserve">e.g., </w:t>
      </w:r>
      <w:r w:rsidRPr="00FA3A80">
        <w:rPr>
          <w:lang w:val="en-GB"/>
        </w:rPr>
        <w:t>Grant, 1985; Parcel &amp; Langemeijer, 1997; Gilbert et al., 2006; Bielza et al., 2007; Loy &amp; Pieniadz, 2009)</w:t>
      </w:r>
      <w:r>
        <w:rPr>
          <w:lang w:val="en-US"/>
        </w:rPr>
        <w:fldChar w:fldCharType="end"/>
      </w:r>
      <w:r>
        <w:rPr>
          <w:lang w:val="en-US"/>
        </w:rPr>
        <w:t xml:space="preserve"> and experimental evidence suggest that risk attitudes</w:t>
      </w:r>
    </w:p>
    <w:p w14:paraId="6017FD28" w14:textId="77777777" w:rsidR="00A55553" w:rsidRDefault="00A55553" w:rsidP="00A55553">
      <w:pPr>
        <w:jc w:val="both"/>
        <w:rPr>
          <w:lang w:val="en-US"/>
        </w:rPr>
      </w:pPr>
      <w:r>
        <w:rPr>
          <w:lang w:val="en-US"/>
        </w:rPr>
        <w:t xml:space="preserve"> </w:t>
      </w:r>
    </w:p>
    <w:p w14:paraId="1357C21F" w14:textId="77777777" w:rsidR="00A55553" w:rsidRDefault="00A55553" w:rsidP="00A55553">
      <w:pPr>
        <w:jc w:val="both"/>
        <w:rPr>
          <w:lang w:val="en-US"/>
        </w:rPr>
      </w:pPr>
      <w:r>
        <w:rPr>
          <w:lang w:val="en-US"/>
        </w:rPr>
        <w:t xml:space="preserve">The literature on forward contracting in agriculture suggests that network influences have positive effect on adoption decisions (Spada et al., n.d.). In particular, recommendation from extension or advisory services </w:t>
      </w:r>
      <w:r>
        <w:rPr>
          <w:lang w:val="en-US"/>
        </w:rPr>
        <w:fldChar w:fldCharType="begin"/>
      </w:r>
      <w:r>
        <w:rPr>
          <w:lang w:val="en-US"/>
        </w:rPr>
        <w:instrText xml:space="preserve"> ADDIN ZOTERO_ITEM CSL_CITATION {"citationID":"84vL17xO","properties":{"unsorted":true,"formattedCitation":"(Mishra &amp; Perry, 1999; Katchova &amp; Miranda, 2004; Davis et al., 2005; Isengildina et al., 2006)","plainCitation":"(Mishra &amp; Perry, 1999; Katchova &amp; Miranda, 2004; Davis et al., 2005; Isengildina et al., 2006)","noteIndex":0},"citationItems":[{"id":126940,"uris":["http://zotero.org/users/14812719/items/2NY3GJJ5"],"itemData":{"id":126940,"type":"article-journal","abstract":"Forward contracting of inputs in production agriculture is becoming increasingly important as more farmers attempt to manage risk. Using a logit model and farmlevel data, this analysis estimates the effect of factors on the probability of a producer using forward input contracting. Results suggest that use of contracting in selling of crops and livestock, technology, farm size, geographic location, participation in government commodity programs, and use of extension services are important factors affecting the choice to forward contract inputs.","container-title":"Journal of Agribusiness","language":"en","page":"77-91","source":"Zotero","title":"Forward Contracting of Inputs: A Farm-Level Analysis","volume":"17","author":[{"family":"Mishra","given":"Ashok K"},{"family":"Perry","given":"Janet E"}],"issued":{"date-parts":[["1999"]]}}},{"id":126752,"uris":["http://zotero.org/groups/5760356/items/8GA29CFF"],"itemData":{"id":126752,"type":"article-journal","abstract":"[We examine how farm characteristics affect marketing contract decisions. We relax the restrictive assumptions of Tobit, Poisson, and multinomial logit models and consider the quantity, frequency, and contract type decisions conditional on, rather than jointly with, the contract adoption decision. In contrast to earlier studies on marketing contract decisions, we estimate a two-step econometric model using Agricultural Resource Management Study data and find that farm characteristics affecting decisions to adopt marketing contracts differ from those affecting decisions regarding quantity, frequency, and contract type.]","container-title":"American Journal of Agricultural Economics","ISSN":"00029092, 14678276","issue":"1","note":"publisher: [Agricultural &amp; Applied Economics Association, Oxford University Press]","page":"88-102","title":"Two-Step Econometric Estimation of Farm Characteristics Affecting Marketing Contract Decisions","volume":"86","author":[{"family":"Katchova","given":"Ani L."},{"family":"Miranda","given":"Mario J."}],"issued":{"date-parts":[["2004"]]}}},{"id":64187,"uris":["http://zotero.org/users/14812719/items/67VGVFPP"],"itemData":{"id":64187,"type":"article-journal","abstract":"Forward pricing behavior of random samples of Indiana, Nebraska, and Mississippi crop producers was analyzed using Heckmanâ€™s two-step limited information maximum likelihood estimation procedure. Producers who forward priced during the 1995-1998 period generally expected to forward price in 1999 using similar techniques. Probit models were estimated for cash forward contracts and taking a direct position in futures or options separately and combined. Results provide limited support for the hypothesis that forward pricing should be analyzed as an adoption decision. Variables reflecting risk attitudes do affect the decision to use forward pricing, while variables to economic position affect the level of forward pricing.","container-title":"Journal of Agricultural and Applied Economics","DOI":"10.1017/S1074070800007161","journalAbbreviation":"Journal of Agricultural and Applied Economics","title":"Forward Pricing Behavior of Corn and Soybean Producers","volume":"37","author":[{"family":"Davis","given":"Todd"},{"family":"Patrick","given":"George"},{"family":"Coble","given":"Keith"},{"family":"Knight","given":"Thomas"},{"family":"Baquet","given":"Alan"}],"issued":{"date-parts":[["2005",2,1]]}}},{"id":126650,"uris":["http://zotero.org/groups/5760356/items/K79W4GZK"],"itemData":{"id":126650,"type":"article-journal","container-title":"Journal of International Food and Agribusiness Marketing","DOI":"10.1300/J047v18n03_05","issue":"3-4","page":"65-84","title":"U.S. crop farmers' use of Market Advisory Services","volume":"18","author":[{"family":"Isengildina","given":"O."},{"family":"Pennings","given":"J.M.E."},{"family":"Irwin","given":"S.H."},{"family":"Good","given":"D.L."}],"issued":{"date-parts":[["2006"]]}}}],"schema":"https://github.com/citation-style-language/schema/raw/master/csl-citation.json"} </w:instrText>
      </w:r>
      <w:r>
        <w:rPr>
          <w:lang w:val="en-US"/>
        </w:rPr>
        <w:fldChar w:fldCharType="separate"/>
      </w:r>
      <w:r w:rsidRPr="007E142F">
        <w:rPr>
          <w:lang w:val="en-GB"/>
        </w:rPr>
        <w:t>(Mishra &amp; Perry, 1999; Katchova &amp; Miranda, 2004; Davis et al., 2005; Isengildina et al., 2006)</w:t>
      </w:r>
      <w:r>
        <w:rPr>
          <w:lang w:val="en-US"/>
        </w:rPr>
        <w:fldChar w:fldCharType="end"/>
      </w:r>
      <w:r>
        <w:rPr>
          <w:lang w:val="en-US"/>
        </w:rPr>
        <w:t xml:space="preserve"> and from commodity buyers </w:t>
      </w:r>
      <w:r>
        <w:rPr>
          <w:lang w:val="en-US"/>
        </w:rPr>
        <w:fldChar w:fldCharType="begin"/>
      </w:r>
      <w:r>
        <w:rPr>
          <w:lang w:val="en-US"/>
        </w:rPr>
        <w:instrText xml:space="preserve"> ADDIN ZOTERO_ITEM CSL_CITATION {"citationID":"3jIVCJEl","properties":{"formattedCitation":"(Penone et al., 2024)","plainCitation":"(Penone et al., 2024)","noteIndex":0},"citationItems":[{"id":126703,"uris":["http://zotero.org/groups/5760356/items/XZX499VG"],"itemData":{"id":126703,"type":"article-journal","container-title":"Agricultural and Food Economics","DOI":"10.1186/s40100-024-00333-7","issue":"1","title":"Exploring farmers’ intention to adopt marketing contracts: empirical insights using the TOE framework","URL":"https://www.scopus.com/inward/record.uri?eid=2-s2.0-85209826384&amp;doi=10.1186%2fs40100-024-00333-7&amp;partnerID=40&amp;md5=0cfe48b80458ee5182497b913bc10a09","volume":"12","author":[{"family":"Penone","given":"C."},{"family":"Giampietri","given":"E."},{"family":"Trestini","given":"S."}],"issued":{"date-parts":[["2024"]]}}}],"schema":"https://github.com/citation-style-language/schema/raw/master/csl-citation.json"} </w:instrText>
      </w:r>
      <w:r>
        <w:rPr>
          <w:lang w:val="en-US"/>
        </w:rPr>
        <w:fldChar w:fldCharType="separate"/>
      </w:r>
      <w:r w:rsidRPr="00C7650B">
        <w:rPr>
          <w:lang w:val="en-US"/>
        </w:rPr>
        <w:t>(Penone et al., 2024)</w:t>
      </w:r>
      <w:r>
        <w:rPr>
          <w:lang w:val="en-US"/>
        </w:rPr>
        <w:fldChar w:fldCharType="end"/>
      </w:r>
      <w:r>
        <w:rPr>
          <w:lang w:val="en-US"/>
        </w:rPr>
        <w:t xml:space="preserve"> increase forward contracts adoption. Suggesting that forward contracting fertilizer with suppliers is </w:t>
      </w:r>
    </w:p>
    <w:p w14:paraId="28BEE9E4" w14:textId="77777777" w:rsidR="00A55553" w:rsidRDefault="00A55553" w:rsidP="00A55553">
      <w:pPr>
        <w:jc w:val="both"/>
        <w:rPr>
          <w:lang w:val="en-US"/>
        </w:rPr>
      </w:pPr>
    </w:p>
    <w:p w14:paraId="3F1FA65F" w14:textId="77777777" w:rsidR="00A55553" w:rsidRDefault="00A55553" w:rsidP="00A55553">
      <w:pPr>
        <w:jc w:val="both"/>
        <w:rPr>
          <w:lang w:val="en-US"/>
        </w:rPr>
      </w:pPr>
      <w:r>
        <w:rPr>
          <w:lang w:val="en-US"/>
        </w:rPr>
        <w:t>No evidence is present in the literature on loss aversion, uncertainty aversion, and time preferences (Spada et al., n.d.).</w:t>
      </w:r>
    </w:p>
    <w:p w14:paraId="1169FD87" w14:textId="77777777" w:rsidR="00DC2D06" w:rsidRDefault="00DC2D06" w:rsidP="00DC2D06">
      <w:pPr>
        <w:jc w:val="both"/>
        <w:rPr>
          <w:lang w:val="en-US"/>
        </w:rPr>
      </w:pPr>
    </w:p>
    <w:p w14:paraId="59BFB343" w14:textId="13CF3557" w:rsidR="00A55553" w:rsidRPr="00A55553" w:rsidRDefault="00A55553" w:rsidP="00DC2D06">
      <w:pPr>
        <w:jc w:val="both"/>
        <w:rPr>
          <w:i/>
          <w:iCs/>
          <w:lang w:val="en-US"/>
        </w:rPr>
      </w:pPr>
      <w:r>
        <w:rPr>
          <w:i/>
          <w:iCs/>
          <w:lang w:val="en-US"/>
        </w:rPr>
        <w:t>Literature on futures contracts</w:t>
      </w:r>
    </w:p>
    <w:p w14:paraId="2A2FD738" w14:textId="77777777" w:rsidR="00DC2D06" w:rsidRDefault="00DC2D06" w:rsidP="00DC2D06">
      <w:pPr>
        <w:jc w:val="both"/>
        <w:rPr>
          <w:lang w:val="en-US"/>
        </w:rPr>
      </w:pPr>
      <w:r>
        <w:rPr>
          <w:lang w:val="en-US"/>
        </w:rPr>
        <w:t xml:space="preserve">In the related literature on futures contracts adoption, it has been shown that loss aversion has a relatively small or no impact on hedging decisions </w:t>
      </w:r>
      <w:r>
        <w:rPr>
          <w:lang w:val="en-US"/>
        </w:rPr>
        <w:fldChar w:fldCharType="begin"/>
      </w:r>
      <w:r>
        <w:rPr>
          <w:lang w:val="en-US"/>
        </w:rPr>
        <w:instrText xml:space="preserve"> ADDIN ZOTERO_ITEM CSL_CITATION {"citationID":"MsLsCtfR","properties":{"formattedCitation":"(Lien, 2001; Mattos et al., 2008)","plainCitation":"(Lien, 2001; Mattos et al., 2008)","noteIndex":0},"citationItems":[{"id":116991,"uris":["http://zotero.org/groups/5760356/items/BX8IUT6D"],"itemData":{"id":116991,"type":"article-journal","abstract":"Abstract\n            This note examines the effect of loss aversion on the futures trading behavior of a short hedger. Using a modified constant‐absolute‐risk‐aversion utility function, I show that loss aversion has no effect in an unbiased futures market. It has different, predictable impacts when the futures market is in backwardation or contango. © 2001 John Wiley &amp; Sons, Inc. Jrl Fut Mark 21: 681–692, 2001","container-title":"Journal of Futures Markets","DOI":"10.1002/fut.1704","ISSN":"0270-7314, 1096-9934","issue":"7","journalAbbreviation":"Journal of Futures Markets","language":"en","license":"http://onlinelibrary.wiley.com/termsAndConditions#vor","page":"681-692","source":"DOI.org (Crossref)","title":"A Note on Loss Aversion and Futures Hedging","volume":"21","author":[{"family":"Lien","given":"Donald"}],"issued":{"date-parts":[["2001",7]]}}},{"id":116994,"uris":["http://zotero.org/groups/5760356/items/TYIXDR84"],"itemData":{"id":116994,"type":"article-journal","abstract":"We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235293">
        <w:rPr>
          <w:lang w:val="en-US"/>
        </w:rPr>
        <w:t>(Lien, 2001; Mattos et al., 2008)</w:t>
      </w:r>
      <w:r>
        <w:rPr>
          <w:lang w:val="en-US"/>
        </w:rPr>
        <w:fldChar w:fldCharType="end"/>
      </w:r>
      <w:r>
        <w:rPr>
          <w:lang w:val="en-US"/>
        </w:rPr>
        <w:t xml:space="preserve">. While other behavioral preferences incorporated in CPT seem to play a more prominent role such as probability weighting </w:t>
      </w:r>
      <w:r>
        <w:rPr>
          <w:lang w:val="en-US"/>
        </w:rPr>
        <w:fldChar w:fldCharType="begin"/>
      </w:r>
      <w:r>
        <w:rPr>
          <w:lang w:val="en-US"/>
        </w:rPr>
        <w:instrText xml:space="preserve"> ADDIN ZOTERO_ITEM CSL_CITATION {"citationID":"miRolsSt","properties":{"formattedCitation":"(Mattos et al., 2008)","plainCitation":"(Mattos et al., 2008)","noteIndex":0},"citationItems":[{"id":116994,"uris":["http://zotero.org/groups/5760356/items/TYIXDR84"],"itemData":{"id":116994,"type":"article-journal","abstract":"We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M.E."}],"issued":{"date-parts":[["2008",11]]}}}],"schema":"https://github.com/citation-style-language/schema/raw/master/csl-citation.json"} </w:instrText>
      </w:r>
      <w:r>
        <w:rPr>
          <w:lang w:val="en-US"/>
        </w:rPr>
        <w:fldChar w:fldCharType="separate"/>
      </w:r>
      <w:r w:rsidRPr="006E1CD3">
        <w:rPr>
          <w:lang w:val="en-US"/>
        </w:rPr>
        <w:t>(Mattos et al., 2008)</w:t>
      </w:r>
      <w:r>
        <w:rPr>
          <w:lang w:val="en-US"/>
        </w:rPr>
        <w:fldChar w:fldCharType="end"/>
      </w:r>
      <w:r>
        <w:rPr>
          <w:lang w:val="en-US"/>
        </w:rPr>
        <w:t xml:space="preserve"> and reference dependence </w:t>
      </w:r>
      <w:r>
        <w:rPr>
          <w:lang w:val="en-US"/>
        </w:rPr>
        <w:fldChar w:fldCharType="begin"/>
      </w:r>
      <w:r>
        <w:rPr>
          <w:lang w:val="en-US"/>
        </w:rPr>
        <w:instrText xml:space="preserve"> ADDIN ZOTERO_ITEM CSL_CITATION {"citationID":"OCcmZQkr","properties":{"formattedCitation":"(Turvey &amp; Nayak, 2003)","plainCitation":"(Turvey &amp; Nayak, 2003)","noteIndex":0},"citationItems":[{"id":126796,"uris":["http://zotero.org/groups/5760356/items/2Q3LT7S3"],"itemData":{"id":126796,"type":"article-journal","abstract":"[This study presents a new approach to the optimal hedging decision. In some empirical studies, the standard hedge using the mean-variance hedge ratio provides results which are inconsistent with downside risk management. The new approach taken here relates the optimal hedge ratio to semivariance rather than variance. An algorithm to solve for the minimum semivariance hedge is presented, and applied to hedging Kansas City wheat and Texas steers.]","container-title":"Journal of Agricultural and Resource Economics","ISSN":"10685502","issue":"1","note":"publisher: Western Agricultural Economics Association","page":"100-115","title":"The Semivariance-Minimizing Hedge Ratio","volume":"28","author":[{"family":"Turvey","given":"Calum G."},{"family":"Nayak","given":"Govindaray"}],"issued":{"date-parts":[["2003"]]}}}],"schema":"https://github.com/citation-style-language/schema/raw/master/csl-citation.json"} </w:instrText>
      </w:r>
      <w:r>
        <w:rPr>
          <w:lang w:val="en-US"/>
        </w:rPr>
        <w:fldChar w:fldCharType="separate"/>
      </w:r>
      <w:r w:rsidRPr="00D47028">
        <w:rPr>
          <w:lang w:val="en-US"/>
        </w:rPr>
        <w:t>(Turvey &amp; Nayak, 2003)</w:t>
      </w:r>
      <w:r>
        <w:rPr>
          <w:lang w:val="en-US"/>
        </w:rPr>
        <w:fldChar w:fldCharType="end"/>
      </w:r>
      <w:r>
        <w:rPr>
          <w:lang w:val="en-US"/>
        </w:rPr>
        <w:t>.</w:t>
      </w:r>
    </w:p>
    <w:p w14:paraId="52C8AD70" w14:textId="77777777" w:rsidR="00B800EF" w:rsidRDefault="00B800EF" w:rsidP="00B800EF">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9"/>
        <w:gridCol w:w="1636"/>
        <w:gridCol w:w="1942"/>
        <w:gridCol w:w="2130"/>
        <w:gridCol w:w="2193"/>
      </w:tblGrid>
      <w:tr w:rsidR="00742B60" w:rsidRPr="00235293" w14:paraId="37CAADB6" w14:textId="77777777" w:rsidTr="00845A4B">
        <w:tc>
          <w:tcPr>
            <w:tcW w:w="1477" w:type="dxa"/>
            <w:tcBorders>
              <w:top w:val="single" w:sz="4" w:space="0" w:color="auto"/>
              <w:bottom w:val="single" w:sz="4" w:space="0" w:color="auto"/>
            </w:tcBorders>
          </w:tcPr>
          <w:p w14:paraId="6C5225A8" w14:textId="77777777" w:rsidR="00742B60" w:rsidRPr="004C5971" w:rsidRDefault="00742B60" w:rsidP="00845A4B">
            <w:pPr>
              <w:rPr>
                <w:b/>
                <w:bCs/>
                <w:sz w:val="18"/>
                <w:szCs w:val="16"/>
                <w:lang w:val="en-US"/>
              </w:rPr>
            </w:pPr>
            <w:r w:rsidRPr="004C5971">
              <w:rPr>
                <w:b/>
                <w:bCs/>
                <w:sz w:val="18"/>
                <w:szCs w:val="16"/>
                <w:lang w:val="en-US"/>
              </w:rPr>
              <w:t xml:space="preserve">Parameters </w:t>
            </w:r>
          </w:p>
        </w:tc>
        <w:tc>
          <w:tcPr>
            <w:tcW w:w="1688" w:type="dxa"/>
            <w:tcBorders>
              <w:top w:val="single" w:sz="4" w:space="0" w:color="auto"/>
              <w:bottom w:val="single" w:sz="4" w:space="0" w:color="auto"/>
            </w:tcBorders>
          </w:tcPr>
          <w:p w14:paraId="267B8CA1" w14:textId="77777777" w:rsidR="00742B60" w:rsidRPr="004C5971" w:rsidRDefault="00742B60" w:rsidP="00845A4B">
            <w:pPr>
              <w:rPr>
                <w:b/>
                <w:bCs/>
                <w:sz w:val="18"/>
                <w:szCs w:val="16"/>
                <w:lang w:val="en-US"/>
              </w:rPr>
            </w:pPr>
            <w:r>
              <w:rPr>
                <w:b/>
                <w:bCs/>
                <w:sz w:val="18"/>
                <w:szCs w:val="16"/>
                <w:lang w:val="en-US"/>
              </w:rPr>
              <w:t xml:space="preserve">Spot price </w:t>
            </w:r>
          </w:p>
        </w:tc>
        <w:tc>
          <w:tcPr>
            <w:tcW w:w="1984" w:type="dxa"/>
            <w:tcBorders>
              <w:top w:val="single" w:sz="4" w:space="0" w:color="auto"/>
              <w:bottom w:val="single" w:sz="4" w:space="0" w:color="auto"/>
            </w:tcBorders>
          </w:tcPr>
          <w:p w14:paraId="6CCEB3DC" w14:textId="77777777" w:rsidR="00742B60" w:rsidRPr="004C5971" w:rsidRDefault="00742B60" w:rsidP="00845A4B">
            <w:pPr>
              <w:rPr>
                <w:b/>
                <w:bCs/>
                <w:sz w:val="18"/>
                <w:szCs w:val="16"/>
                <w:lang w:val="en-US"/>
              </w:rPr>
            </w:pPr>
            <w:r w:rsidRPr="004C5971">
              <w:rPr>
                <w:b/>
                <w:bCs/>
                <w:sz w:val="18"/>
                <w:szCs w:val="16"/>
                <w:lang w:val="en-US"/>
              </w:rPr>
              <w:t>Normal forward contract</w:t>
            </w:r>
          </w:p>
        </w:tc>
        <w:tc>
          <w:tcPr>
            <w:tcW w:w="2181" w:type="dxa"/>
            <w:tcBorders>
              <w:top w:val="single" w:sz="4" w:space="0" w:color="auto"/>
              <w:bottom w:val="single" w:sz="4" w:space="0" w:color="auto"/>
            </w:tcBorders>
          </w:tcPr>
          <w:p w14:paraId="50D6E1AD" w14:textId="77777777" w:rsidR="00742B60" w:rsidRPr="004C5971" w:rsidRDefault="00742B60" w:rsidP="00845A4B">
            <w:pPr>
              <w:rPr>
                <w:b/>
                <w:bCs/>
                <w:sz w:val="18"/>
                <w:szCs w:val="16"/>
                <w:lang w:val="en-US"/>
              </w:rPr>
            </w:pPr>
            <w:r w:rsidRPr="004C5971">
              <w:rPr>
                <w:b/>
                <w:bCs/>
                <w:sz w:val="18"/>
                <w:szCs w:val="16"/>
                <w:lang w:val="en-US"/>
              </w:rPr>
              <w:t xml:space="preserve">Behavioral Forward Contract with price ceiling </w:t>
            </w:r>
          </w:p>
        </w:tc>
        <w:tc>
          <w:tcPr>
            <w:tcW w:w="2246" w:type="dxa"/>
            <w:tcBorders>
              <w:top w:val="single" w:sz="4" w:space="0" w:color="auto"/>
              <w:bottom w:val="single" w:sz="4" w:space="0" w:color="auto"/>
            </w:tcBorders>
          </w:tcPr>
          <w:p w14:paraId="5E9C9345" w14:textId="77777777" w:rsidR="00742B60" w:rsidRPr="004C5971" w:rsidRDefault="00742B60" w:rsidP="00845A4B">
            <w:pPr>
              <w:rPr>
                <w:b/>
                <w:bCs/>
                <w:sz w:val="18"/>
                <w:szCs w:val="16"/>
                <w:lang w:val="en-US"/>
              </w:rPr>
            </w:pPr>
            <w:r w:rsidRPr="004C5971">
              <w:rPr>
                <w:b/>
                <w:bCs/>
                <w:sz w:val="18"/>
                <w:szCs w:val="16"/>
                <w:lang w:val="en-US"/>
              </w:rPr>
              <w:t>Behavioral “Insurance-like” contract</w:t>
            </w:r>
          </w:p>
        </w:tc>
      </w:tr>
      <w:tr w:rsidR="00742B60" w:rsidRPr="00235293" w14:paraId="5C6D34BD" w14:textId="77777777" w:rsidTr="00845A4B">
        <w:tc>
          <w:tcPr>
            <w:tcW w:w="1477" w:type="dxa"/>
          </w:tcPr>
          <w:p w14:paraId="7576EB51" w14:textId="77777777" w:rsidR="00742B60" w:rsidRPr="004C5971" w:rsidRDefault="00742B60" w:rsidP="00845A4B">
            <w:pPr>
              <w:rPr>
                <w:i/>
                <w:iCs/>
                <w:sz w:val="18"/>
                <w:szCs w:val="16"/>
                <w:lang w:val="en-US"/>
              </w:rPr>
            </w:pPr>
            <w:r w:rsidRPr="004C5971">
              <w:rPr>
                <w:i/>
                <w:iCs/>
                <w:sz w:val="18"/>
                <w:szCs w:val="16"/>
                <w:lang w:val="en-US"/>
              </w:rPr>
              <w:t>Quantity</w:t>
            </w:r>
          </w:p>
        </w:tc>
        <w:tc>
          <w:tcPr>
            <w:tcW w:w="1688" w:type="dxa"/>
          </w:tcPr>
          <w:p w14:paraId="6E2E7836" w14:textId="77777777" w:rsidR="00742B60" w:rsidRPr="004C5971" w:rsidRDefault="00742B60" w:rsidP="00845A4B">
            <w:pPr>
              <w:rPr>
                <w:sz w:val="18"/>
                <w:szCs w:val="16"/>
                <w:lang w:val="en-US"/>
              </w:rPr>
            </w:pPr>
          </w:p>
        </w:tc>
        <w:tc>
          <w:tcPr>
            <w:tcW w:w="1984" w:type="dxa"/>
          </w:tcPr>
          <w:p w14:paraId="07C69E24"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69AD7B8E" w14:textId="77777777" w:rsidR="00742B60" w:rsidRPr="00E549C9" w:rsidRDefault="00742B60" w:rsidP="00845A4B">
            <w:pPr>
              <w:rPr>
                <w:sz w:val="18"/>
                <w:szCs w:val="16"/>
                <w:lang w:val="en-US"/>
              </w:rPr>
            </w:pPr>
            <w:r w:rsidRPr="00E549C9">
              <w:rPr>
                <w:sz w:val="18"/>
                <w:szCs w:val="16"/>
                <w:lang w:val="en-US"/>
              </w:rPr>
              <w:t xml:space="preserve">Fixed </w:t>
            </w:r>
          </w:p>
        </w:tc>
        <w:tc>
          <w:tcPr>
            <w:tcW w:w="2246" w:type="dxa"/>
          </w:tcPr>
          <w:p w14:paraId="3F69E46E" w14:textId="77777777" w:rsidR="00742B60" w:rsidRPr="00E549C9" w:rsidRDefault="00742B60" w:rsidP="00845A4B">
            <w:pPr>
              <w:rPr>
                <w:sz w:val="18"/>
                <w:szCs w:val="16"/>
                <w:lang w:val="en-US"/>
              </w:rPr>
            </w:pPr>
            <w:r w:rsidRPr="00E549C9">
              <w:rPr>
                <w:sz w:val="18"/>
                <w:szCs w:val="16"/>
                <w:lang w:val="en-US"/>
              </w:rPr>
              <w:t xml:space="preserve">Flexible </w:t>
            </w:r>
          </w:p>
        </w:tc>
      </w:tr>
      <w:tr w:rsidR="00742B60" w:rsidRPr="00D75AA4" w14:paraId="29C943D1" w14:textId="77777777" w:rsidTr="00845A4B">
        <w:tc>
          <w:tcPr>
            <w:tcW w:w="1477" w:type="dxa"/>
          </w:tcPr>
          <w:p w14:paraId="648D1C43" w14:textId="77777777" w:rsidR="00742B60" w:rsidRPr="004C5971" w:rsidRDefault="00742B60" w:rsidP="00845A4B">
            <w:pPr>
              <w:rPr>
                <w:i/>
                <w:iCs/>
                <w:sz w:val="18"/>
                <w:szCs w:val="16"/>
                <w:lang w:val="en-US"/>
              </w:rPr>
            </w:pPr>
            <w:r w:rsidRPr="004C5971">
              <w:rPr>
                <w:i/>
                <w:iCs/>
                <w:sz w:val="18"/>
                <w:szCs w:val="16"/>
                <w:lang w:val="en-US"/>
              </w:rPr>
              <w:t xml:space="preserve">Delivery </w:t>
            </w:r>
          </w:p>
        </w:tc>
        <w:tc>
          <w:tcPr>
            <w:tcW w:w="1688" w:type="dxa"/>
          </w:tcPr>
          <w:p w14:paraId="14821BDF" w14:textId="77777777" w:rsidR="00742B60" w:rsidRPr="00480942" w:rsidRDefault="00742B60" w:rsidP="00845A4B">
            <w:pPr>
              <w:rPr>
                <w:sz w:val="18"/>
                <w:szCs w:val="16"/>
                <w:lang w:val="en-US"/>
              </w:rPr>
            </w:pPr>
          </w:p>
        </w:tc>
        <w:tc>
          <w:tcPr>
            <w:tcW w:w="1984" w:type="dxa"/>
          </w:tcPr>
          <w:p w14:paraId="5E73F235" w14:textId="77777777" w:rsidR="00742B60" w:rsidRPr="004C5971" w:rsidRDefault="00742B60" w:rsidP="00845A4B">
            <w:pPr>
              <w:rPr>
                <w:sz w:val="18"/>
                <w:szCs w:val="16"/>
                <w:lang w:val="en-US"/>
              </w:rPr>
            </w:pPr>
            <w:r w:rsidRPr="00480942">
              <w:rPr>
                <w:sz w:val="18"/>
                <w:szCs w:val="16"/>
                <w:lang w:val="en-US"/>
              </w:rPr>
              <w:t>In bulk before planting season or staggered (reduce over-fertilization)</w:t>
            </w:r>
          </w:p>
        </w:tc>
        <w:tc>
          <w:tcPr>
            <w:tcW w:w="2181" w:type="dxa"/>
          </w:tcPr>
          <w:p w14:paraId="211FBDF0"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c>
          <w:tcPr>
            <w:tcW w:w="2246" w:type="dxa"/>
          </w:tcPr>
          <w:p w14:paraId="59C65C21" w14:textId="77777777" w:rsidR="00742B60" w:rsidRPr="00E549C9" w:rsidRDefault="00742B60" w:rsidP="00845A4B">
            <w:pPr>
              <w:rPr>
                <w:sz w:val="18"/>
                <w:szCs w:val="16"/>
                <w:lang w:val="en-US"/>
              </w:rPr>
            </w:pPr>
            <w:r w:rsidRPr="00E549C9">
              <w:rPr>
                <w:sz w:val="18"/>
                <w:szCs w:val="16"/>
                <w:lang w:val="en-US"/>
              </w:rPr>
              <w:t>In bulk before planting season or staggered (reduce over-fertilization)</w:t>
            </w:r>
          </w:p>
        </w:tc>
      </w:tr>
      <w:tr w:rsidR="00742B60" w:rsidRPr="00D75AA4" w14:paraId="1BF1D4AA" w14:textId="77777777" w:rsidTr="00845A4B">
        <w:tc>
          <w:tcPr>
            <w:tcW w:w="1477" w:type="dxa"/>
          </w:tcPr>
          <w:p w14:paraId="293B7CFF" w14:textId="77777777" w:rsidR="00742B60" w:rsidRPr="004C5971" w:rsidRDefault="00742B60" w:rsidP="00845A4B">
            <w:pPr>
              <w:rPr>
                <w:i/>
                <w:iCs/>
                <w:sz w:val="18"/>
                <w:szCs w:val="16"/>
                <w:lang w:val="en-US"/>
              </w:rPr>
            </w:pPr>
          </w:p>
        </w:tc>
        <w:tc>
          <w:tcPr>
            <w:tcW w:w="1688" w:type="dxa"/>
          </w:tcPr>
          <w:p w14:paraId="6A3714D5" w14:textId="77777777" w:rsidR="00742B60" w:rsidRPr="004C5971" w:rsidRDefault="00742B60" w:rsidP="00845A4B">
            <w:pPr>
              <w:rPr>
                <w:sz w:val="18"/>
                <w:szCs w:val="16"/>
                <w:lang w:val="en-US"/>
              </w:rPr>
            </w:pPr>
          </w:p>
        </w:tc>
        <w:tc>
          <w:tcPr>
            <w:tcW w:w="1984" w:type="dxa"/>
          </w:tcPr>
          <w:p w14:paraId="5E27132F" w14:textId="77777777" w:rsidR="00742B60" w:rsidRPr="004C5971" w:rsidRDefault="00742B60" w:rsidP="00845A4B">
            <w:pPr>
              <w:rPr>
                <w:sz w:val="18"/>
                <w:szCs w:val="16"/>
                <w:lang w:val="en-US"/>
              </w:rPr>
            </w:pPr>
          </w:p>
        </w:tc>
        <w:tc>
          <w:tcPr>
            <w:tcW w:w="2181" w:type="dxa"/>
          </w:tcPr>
          <w:p w14:paraId="1C17C9D1" w14:textId="77777777" w:rsidR="00742B60" w:rsidRPr="00E549C9" w:rsidRDefault="00742B60" w:rsidP="00845A4B">
            <w:pPr>
              <w:rPr>
                <w:sz w:val="18"/>
                <w:szCs w:val="16"/>
                <w:lang w:val="en-US"/>
              </w:rPr>
            </w:pPr>
          </w:p>
        </w:tc>
        <w:tc>
          <w:tcPr>
            <w:tcW w:w="2246" w:type="dxa"/>
          </w:tcPr>
          <w:p w14:paraId="57A6254D" w14:textId="77777777" w:rsidR="00742B60" w:rsidRPr="00E549C9" w:rsidRDefault="00742B60" w:rsidP="00845A4B">
            <w:pPr>
              <w:rPr>
                <w:sz w:val="18"/>
                <w:szCs w:val="16"/>
                <w:lang w:val="en-US"/>
              </w:rPr>
            </w:pPr>
          </w:p>
        </w:tc>
      </w:tr>
      <w:tr w:rsidR="00742B60" w:rsidRPr="00D75AA4" w14:paraId="3D43301F" w14:textId="77777777" w:rsidTr="00845A4B">
        <w:tc>
          <w:tcPr>
            <w:tcW w:w="1477" w:type="dxa"/>
          </w:tcPr>
          <w:p w14:paraId="2778417F" w14:textId="77777777" w:rsidR="00742B60" w:rsidRPr="004C5971" w:rsidRDefault="00742B60" w:rsidP="00845A4B">
            <w:pPr>
              <w:rPr>
                <w:i/>
                <w:iCs/>
                <w:sz w:val="18"/>
                <w:szCs w:val="16"/>
                <w:lang w:val="en-US"/>
              </w:rPr>
            </w:pPr>
            <w:r>
              <w:rPr>
                <w:i/>
                <w:iCs/>
                <w:sz w:val="18"/>
                <w:szCs w:val="16"/>
                <w:lang w:val="en-US"/>
              </w:rPr>
              <w:t>Fertilizer cost</w:t>
            </w:r>
          </w:p>
        </w:tc>
        <w:tc>
          <w:tcPr>
            <w:tcW w:w="1688" w:type="dxa"/>
          </w:tcPr>
          <w:p w14:paraId="4B756068" w14:textId="77777777" w:rsidR="00742B60" w:rsidRPr="004C5971" w:rsidRDefault="00742B60" w:rsidP="00845A4B">
            <w:pPr>
              <w:rPr>
                <w:sz w:val="18"/>
                <w:szCs w:val="16"/>
                <w:lang w:val="en-US"/>
              </w:rPr>
            </w:pPr>
          </w:p>
        </w:tc>
        <w:tc>
          <w:tcPr>
            <w:tcW w:w="1984" w:type="dxa"/>
          </w:tcPr>
          <w:p w14:paraId="71004341" w14:textId="77777777" w:rsidR="00742B60" w:rsidRPr="004C5971" w:rsidRDefault="00742B60" w:rsidP="00845A4B">
            <w:pPr>
              <w:rPr>
                <w:sz w:val="18"/>
                <w:szCs w:val="16"/>
                <w:lang w:val="en-US"/>
              </w:rPr>
            </w:pPr>
            <w:r w:rsidRPr="004C5971">
              <w:rPr>
                <w:sz w:val="18"/>
                <w:szCs w:val="16"/>
                <w:lang w:val="en-US"/>
              </w:rPr>
              <w:t>Fixed</w:t>
            </w:r>
          </w:p>
        </w:tc>
        <w:tc>
          <w:tcPr>
            <w:tcW w:w="2181" w:type="dxa"/>
          </w:tcPr>
          <w:p w14:paraId="32210DC6" w14:textId="77777777" w:rsidR="00742B60" w:rsidRPr="00E549C9" w:rsidRDefault="00742B60" w:rsidP="00845A4B">
            <w:pPr>
              <w:rPr>
                <w:sz w:val="18"/>
                <w:szCs w:val="16"/>
                <w:lang w:val="en-US"/>
              </w:rPr>
            </w:pPr>
            <w:r w:rsidRPr="00E549C9">
              <w:rPr>
                <w:sz w:val="18"/>
                <w:szCs w:val="16"/>
                <w:lang w:val="en-US"/>
              </w:rPr>
              <w:t xml:space="preserve">Range </w:t>
            </w:r>
          </w:p>
        </w:tc>
        <w:tc>
          <w:tcPr>
            <w:tcW w:w="2246" w:type="dxa"/>
          </w:tcPr>
          <w:p w14:paraId="391A33D4" w14:textId="77777777" w:rsidR="00742B60" w:rsidRPr="00E549C9" w:rsidRDefault="00742B60" w:rsidP="00845A4B">
            <w:pPr>
              <w:rPr>
                <w:sz w:val="18"/>
                <w:szCs w:val="16"/>
                <w:lang w:val="en-US"/>
              </w:rPr>
            </w:pPr>
            <w:r w:rsidRPr="00E549C9">
              <w:rPr>
                <w:sz w:val="18"/>
                <w:szCs w:val="16"/>
                <w:lang w:val="en-US"/>
              </w:rPr>
              <w:t>Market price if p &lt; cap</w:t>
            </w:r>
          </w:p>
        </w:tc>
      </w:tr>
      <w:tr w:rsidR="00742B60" w:rsidRPr="00235293" w14:paraId="43057FCB" w14:textId="77777777" w:rsidTr="00845A4B">
        <w:tc>
          <w:tcPr>
            <w:tcW w:w="1477" w:type="dxa"/>
          </w:tcPr>
          <w:p w14:paraId="5599E283" w14:textId="77777777" w:rsidR="00742B60" w:rsidRPr="004C5971" w:rsidRDefault="00742B60" w:rsidP="00845A4B">
            <w:pPr>
              <w:rPr>
                <w:i/>
                <w:iCs/>
                <w:sz w:val="18"/>
                <w:szCs w:val="16"/>
                <w:lang w:val="en-US"/>
              </w:rPr>
            </w:pPr>
            <w:r w:rsidRPr="004C5971">
              <w:rPr>
                <w:i/>
                <w:iCs/>
                <w:sz w:val="18"/>
                <w:szCs w:val="16"/>
                <w:lang w:val="en-US"/>
              </w:rPr>
              <w:lastRenderedPageBreak/>
              <w:t>Contract cost</w:t>
            </w:r>
          </w:p>
        </w:tc>
        <w:tc>
          <w:tcPr>
            <w:tcW w:w="1688" w:type="dxa"/>
          </w:tcPr>
          <w:p w14:paraId="0B939FD9" w14:textId="77777777" w:rsidR="00742B60" w:rsidRPr="004C5971" w:rsidRDefault="00742B60" w:rsidP="00845A4B">
            <w:pPr>
              <w:rPr>
                <w:sz w:val="18"/>
                <w:szCs w:val="16"/>
                <w:lang w:val="en-US"/>
              </w:rPr>
            </w:pPr>
            <w:r>
              <w:rPr>
                <w:sz w:val="18"/>
                <w:szCs w:val="16"/>
                <w:lang w:val="en-US"/>
              </w:rPr>
              <w:t>None</w:t>
            </w:r>
          </w:p>
        </w:tc>
        <w:tc>
          <w:tcPr>
            <w:tcW w:w="1984" w:type="dxa"/>
          </w:tcPr>
          <w:p w14:paraId="3967FCA8" w14:textId="77777777" w:rsidR="00742B60" w:rsidRPr="004C5971" w:rsidRDefault="00742B60" w:rsidP="00845A4B">
            <w:pPr>
              <w:rPr>
                <w:sz w:val="18"/>
                <w:szCs w:val="16"/>
                <w:lang w:val="en-US"/>
              </w:rPr>
            </w:pPr>
            <w:r>
              <w:rPr>
                <w:sz w:val="18"/>
                <w:szCs w:val="16"/>
                <w:lang w:val="en-US"/>
              </w:rPr>
              <w:t>P (implicit)</w:t>
            </w:r>
          </w:p>
        </w:tc>
        <w:tc>
          <w:tcPr>
            <w:tcW w:w="2181" w:type="dxa"/>
          </w:tcPr>
          <w:p w14:paraId="6554950B" w14:textId="77777777" w:rsidR="00742B60" w:rsidRPr="00E549C9" w:rsidRDefault="00742B60" w:rsidP="00845A4B">
            <w:pPr>
              <w:rPr>
                <w:sz w:val="18"/>
                <w:szCs w:val="16"/>
                <w:lang w:val="en-US"/>
              </w:rPr>
            </w:pPr>
            <w:r w:rsidRPr="00E549C9">
              <w:rPr>
                <w:sz w:val="18"/>
                <w:szCs w:val="16"/>
                <w:lang w:val="en-US"/>
              </w:rPr>
              <w:t xml:space="preserve">Share of the total payment paid upfront </w:t>
            </w:r>
          </w:p>
        </w:tc>
        <w:tc>
          <w:tcPr>
            <w:tcW w:w="2246" w:type="dxa"/>
          </w:tcPr>
          <w:p w14:paraId="78E6A2EE" w14:textId="77777777" w:rsidR="00742B60" w:rsidRPr="00E549C9" w:rsidRDefault="00742B60" w:rsidP="00845A4B">
            <w:pPr>
              <w:rPr>
                <w:sz w:val="18"/>
                <w:szCs w:val="16"/>
                <w:lang w:val="en-US"/>
              </w:rPr>
            </w:pPr>
            <w:r>
              <w:rPr>
                <w:sz w:val="18"/>
                <w:szCs w:val="16"/>
                <w:lang w:val="en-US"/>
              </w:rPr>
              <w:t>P (explicit)</w:t>
            </w:r>
          </w:p>
        </w:tc>
      </w:tr>
      <w:tr w:rsidR="00742B60" w:rsidRPr="00235293" w14:paraId="6800D89E" w14:textId="77777777" w:rsidTr="00845A4B">
        <w:tc>
          <w:tcPr>
            <w:tcW w:w="1477" w:type="dxa"/>
            <w:tcBorders>
              <w:bottom w:val="single" w:sz="4" w:space="0" w:color="auto"/>
            </w:tcBorders>
          </w:tcPr>
          <w:p w14:paraId="450467FC" w14:textId="77777777" w:rsidR="00742B60" w:rsidRPr="004C5971" w:rsidRDefault="00742B60" w:rsidP="00845A4B">
            <w:pPr>
              <w:rPr>
                <w:i/>
                <w:iCs/>
                <w:sz w:val="18"/>
                <w:szCs w:val="16"/>
                <w:lang w:val="en-US"/>
              </w:rPr>
            </w:pPr>
            <w:r w:rsidRPr="004C5971">
              <w:rPr>
                <w:i/>
                <w:iCs/>
                <w:sz w:val="18"/>
                <w:szCs w:val="16"/>
                <w:lang w:val="en-US"/>
              </w:rPr>
              <w:t>Price ceiling</w:t>
            </w:r>
          </w:p>
        </w:tc>
        <w:tc>
          <w:tcPr>
            <w:tcW w:w="1688" w:type="dxa"/>
            <w:tcBorders>
              <w:bottom w:val="single" w:sz="4" w:space="0" w:color="auto"/>
            </w:tcBorders>
          </w:tcPr>
          <w:p w14:paraId="55161533" w14:textId="77777777" w:rsidR="00742B60" w:rsidRDefault="00742B60" w:rsidP="00845A4B">
            <w:pPr>
              <w:rPr>
                <w:sz w:val="18"/>
                <w:szCs w:val="16"/>
                <w:lang w:val="en-US"/>
              </w:rPr>
            </w:pPr>
          </w:p>
        </w:tc>
        <w:tc>
          <w:tcPr>
            <w:tcW w:w="1984" w:type="dxa"/>
            <w:tcBorders>
              <w:bottom w:val="single" w:sz="4" w:space="0" w:color="auto"/>
            </w:tcBorders>
          </w:tcPr>
          <w:p w14:paraId="4B381986" w14:textId="77777777" w:rsidR="00742B60" w:rsidRDefault="00742B60" w:rsidP="00845A4B">
            <w:pPr>
              <w:rPr>
                <w:sz w:val="18"/>
                <w:szCs w:val="16"/>
                <w:lang w:val="en-US"/>
              </w:rPr>
            </w:pPr>
            <w:r w:rsidRPr="004C5971">
              <w:rPr>
                <w:sz w:val="18"/>
                <w:szCs w:val="16"/>
                <w:lang w:val="en-US"/>
              </w:rPr>
              <w:t>No</w:t>
            </w:r>
          </w:p>
        </w:tc>
        <w:tc>
          <w:tcPr>
            <w:tcW w:w="2181" w:type="dxa"/>
            <w:tcBorders>
              <w:bottom w:val="single" w:sz="4" w:space="0" w:color="auto"/>
            </w:tcBorders>
          </w:tcPr>
          <w:p w14:paraId="4237F4E8" w14:textId="77777777" w:rsidR="00742B60" w:rsidRPr="00E549C9" w:rsidRDefault="00742B60" w:rsidP="00845A4B">
            <w:pPr>
              <w:rPr>
                <w:sz w:val="18"/>
                <w:szCs w:val="16"/>
                <w:lang w:val="en-US"/>
              </w:rPr>
            </w:pPr>
            <w:r w:rsidRPr="00E549C9">
              <w:rPr>
                <w:sz w:val="18"/>
                <w:szCs w:val="16"/>
                <w:lang w:val="en-US"/>
              </w:rPr>
              <w:t>Yes</w:t>
            </w:r>
          </w:p>
        </w:tc>
        <w:tc>
          <w:tcPr>
            <w:tcW w:w="2246" w:type="dxa"/>
            <w:tcBorders>
              <w:bottom w:val="single" w:sz="4" w:space="0" w:color="auto"/>
            </w:tcBorders>
          </w:tcPr>
          <w:p w14:paraId="77BB5034" w14:textId="77777777" w:rsidR="00742B60" w:rsidRDefault="00742B60" w:rsidP="00845A4B">
            <w:pPr>
              <w:rPr>
                <w:sz w:val="18"/>
                <w:szCs w:val="16"/>
                <w:lang w:val="en-US"/>
              </w:rPr>
            </w:pPr>
            <w:r w:rsidRPr="00E549C9">
              <w:rPr>
                <w:sz w:val="18"/>
                <w:szCs w:val="16"/>
                <w:lang w:val="en-US"/>
              </w:rPr>
              <w:t>Yes</w:t>
            </w:r>
          </w:p>
        </w:tc>
      </w:tr>
    </w:tbl>
    <w:p w14:paraId="04B3445C" w14:textId="77777777" w:rsidR="00742B60" w:rsidRDefault="00742B60" w:rsidP="00B800EF">
      <w:pPr>
        <w:rPr>
          <w:lang w:val="en-US"/>
        </w:rPr>
      </w:pPr>
    </w:p>
    <w:p w14:paraId="5EB6B24F" w14:textId="77777777" w:rsidR="00244D12" w:rsidRDefault="00244D12" w:rsidP="00B800EF">
      <w:pPr>
        <w:rPr>
          <w:lang w:val="en-US"/>
        </w:rPr>
      </w:pPr>
    </w:p>
    <w:p w14:paraId="45A200B7" w14:textId="1C8BA4E0" w:rsidR="009347AD" w:rsidRPr="009347AD" w:rsidRDefault="009347AD" w:rsidP="009347AD">
      <w:pPr>
        <w:rPr>
          <w:lang w:val="en-US"/>
        </w:rPr>
      </w:pPr>
      <w:r w:rsidRPr="009347AD">
        <w:rPr>
          <w:lang w:val="en-US"/>
        </w:rPr>
        <w:t xml:space="preserve">In addition to the option of buying fertilizers at the spot price </w:t>
      </w:r>
      <m:oMath>
        <m:r>
          <w:rPr>
            <w:rFonts w:ascii="Cambria Math" w:hAnsi="Cambria Math"/>
            <w:lang w:val="en-US"/>
          </w:rPr>
          <m:t>(</m:t>
        </m:r>
        <m:r>
          <w:rPr>
            <w:rFonts w:ascii="Cambria Math" w:hAnsi="Cambria Math"/>
          </w:rPr>
          <m:t>S</m:t>
        </m:r>
        <m:r>
          <w:rPr>
            <w:rFonts w:ascii="Cambria Math" w:hAnsi="Cambria Math"/>
            <w:lang w:val="en-US"/>
          </w:rPr>
          <m:t>)</m:t>
        </m:r>
      </m:oMath>
      <w:r w:rsidRPr="009347AD">
        <w:rPr>
          <w:lang w:val="en-US"/>
        </w:rPr>
        <w:t xml:space="preserve"> and forward contracting them with a supplier, thus fixing the price </w:t>
      </w:r>
      <m:oMath>
        <m:sSup>
          <m:sSupPr>
            <m:ctrlPr>
              <w:rPr>
                <w:rFonts w:ascii="Cambria Math" w:hAnsi="Cambria Math"/>
                <w:i/>
                <w:lang w:val="en-US"/>
              </w:rPr>
            </m:ctrlPr>
          </m:sSupPr>
          <m:e>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m:t>
            </m:r>
          </m:sup>
        </m:sSup>
        <m:r>
          <w:rPr>
            <w:rFonts w:ascii="Cambria Math" w:hAnsi="Cambria Math"/>
            <w:lang w:val="en-US"/>
          </w:rPr>
          <m:t>)</m:t>
        </m:r>
      </m:oMath>
      <w:r w:rsidRPr="009347AD">
        <w:rPr>
          <w:lang w:val="en-US"/>
        </w:rPr>
        <w:t xml:space="preserve">, we introduce an “insurance-like” mechanism. By paying a premium </w:t>
      </w:r>
      <m:oMath>
        <m:r>
          <w:rPr>
            <w:rFonts w:ascii="Cambria Math" w:hAnsi="Cambria Math"/>
            <w:lang w:val="en-US"/>
          </w:rPr>
          <m:t>(P)</m:t>
        </m:r>
      </m:oMath>
      <w:r w:rsidRPr="009347AD">
        <w:rPr>
          <w:lang w:val="en-US"/>
        </w:rPr>
        <w:t xml:space="preserve">, farmers ensure that, during the cropping cycle, if the fertilizer price goes above a certain threshold </w:t>
      </w:r>
      <m:oMath>
        <m:r>
          <w:rPr>
            <w:rFonts w:ascii="Cambria Math" w:hAnsi="Cambria Math"/>
            <w:lang w:val="en-US"/>
          </w:rPr>
          <m:t>(K)</m:t>
        </m:r>
      </m:oMath>
      <w:r w:rsidRPr="009347AD">
        <w:rPr>
          <w:lang w:val="en-US"/>
        </w:rPr>
        <w:t xml:space="preserve">, the payoff of the “insurance” would ensure that the price they pay would be capped at </w:t>
      </w:r>
      <m:oMath>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oMath>
      <w:r w:rsidRPr="009347AD">
        <w:rPr>
          <w:lang w:val="en-US"/>
        </w:rPr>
        <w:t>.</w:t>
      </w:r>
      <w:r w:rsidRPr="00327C48">
        <w:rPr>
          <w:rStyle w:val="FootnoteReference"/>
        </w:rPr>
        <w:footnoteReference w:id="2"/>
      </w:r>
      <w:r w:rsidRPr="009347AD">
        <w:rPr>
          <w:lang w:val="en-US"/>
        </w:rPr>
        <w:t xml:space="preserve"> In this case, the terms for the “insurance” payoff </w:t>
      </w:r>
      <m:oMath>
        <m:r>
          <w:rPr>
            <w:rFonts w:ascii="Cambria Math" w:hAnsi="Cambria Math"/>
            <w:lang w:val="en-US"/>
          </w:rPr>
          <m:t>(</m:t>
        </m:r>
        <m:r>
          <w:rPr>
            <w:rFonts w:ascii="Cambria Math" w:hAnsi="Cambria Math"/>
          </w:rPr>
          <m:t>α</m:t>
        </m:r>
        <m:r>
          <w:rPr>
            <w:rFonts w:ascii="Cambria Math" w:hAnsi="Cambria Math"/>
            <w:lang w:val="en-GB"/>
          </w:rPr>
          <m:t>)</m:t>
        </m:r>
      </m:oMath>
      <w:r w:rsidRPr="009347AD">
        <w:rPr>
          <w:lang w:val="en-US"/>
        </w:rPr>
        <w:t xml:space="preserve"> and premium </w:t>
      </w:r>
      <m:oMath>
        <m:r>
          <w:rPr>
            <w:rFonts w:ascii="Cambria Math" w:hAnsi="Cambria Math"/>
            <w:lang w:val="en-US"/>
          </w:rPr>
          <m:t>(</m:t>
        </m:r>
        <m:r>
          <w:rPr>
            <w:rFonts w:ascii="Cambria Math" w:hAnsi="Cambria Math"/>
          </w:rPr>
          <m:t>P</m:t>
        </m:r>
        <m:r>
          <w:rPr>
            <w:rFonts w:ascii="Cambria Math" w:hAnsi="Cambria Math"/>
            <w:lang w:val="en-GB"/>
          </w:rPr>
          <m:t>)</m:t>
        </m:r>
      </m:oMath>
      <w:r w:rsidRPr="009347AD">
        <w:rPr>
          <w:lang w:val="en-US"/>
        </w:rPr>
        <w:t xml:space="preserve"> are introduced: </w:t>
      </w:r>
    </w:p>
    <w:p w14:paraId="730235DF" w14:textId="77777777" w:rsidR="009347AD" w:rsidRPr="009347AD" w:rsidRDefault="009347AD" w:rsidP="009347AD">
      <w:pPr>
        <w:rPr>
          <w:lang w:val="en-US"/>
        </w:rPr>
      </w:pPr>
    </w:p>
    <w:p w14:paraId="2F003929" w14:textId="75325C69" w:rsidR="00244D12" w:rsidRDefault="00000000" w:rsidP="009347AD">
      <w:pPr>
        <w:rPr>
          <w:lang w:val="en-US"/>
        </w:rPr>
      </w:pPr>
      <m:oMathPara>
        <m:oMath>
          <m:eqArr>
            <m:eqArrPr>
              <m:maxDist m:val="1"/>
              <m:ctrlPr>
                <w:rPr>
                  <w:rFonts w:ascii="Cambria Math" w:hAnsi="Cambria Math"/>
                  <w:i/>
                </w:rPr>
              </m:ctrlPr>
            </m:eqArrPr>
            <m:e>
              <m:r>
                <w:rPr>
                  <w:rFonts w:ascii="Cambria Math" w:hAnsi="Cambria Math"/>
                </w:rPr>
                <m:t>π</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y(N)</m:t>
              </m:r>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N</m:t>
              </m:r>
              <m:r>
                <w:rPr>
                  <w:rFonts w:ascii="Cambria Math" w:hAnsi="Cambria Math"/>
                  <w:lang w:val="en-GB"/>
                </w:rPr>
                <m:t>+</m:t>
              </m:r>
              <m:r>
                <w:rPr>
                  <w:rFonts w:ascii="Cambria Math" w:hAnsi="Cambria Math"/>
                </w:rPr>
                <m:t>α</m:t>
              </m:r>
              <m:r>
                <w:rPr>
                  <w:rFonts w:ascii="Cambria Math" w:hAnsi="Cambria Math"/>
                  <w:lang w:val="en-GB"/>
                </w:rPr>
                <m:t>-</m:t>
              </m:r>
              <m:r>
                <w:rPr>
                  <w:rFonts w:ascii="Cambria Math" w:hAnsi="Cambria Math"/>
                </w:rPr>
                <m:t>P#</m:t>
              </m:r>
              <m:d>
                <m:dPr>
                  <m:ctrlPr>
                    <w:rPr>
                      <w:rFonts w:ascii="Cambria Math" w:hAnsi="Cambria Math"/>
                      <w:i/>
                    </w:rPr>
                  </m:ctrlPr>
                </m:dPr>
                <m:e>
                  <m:r>
                    <w:rPr>
                      <w:rFonts w:ascii="Cambria Math" w:hAnsi="Cambria Math"/>
                    </w:rPr>
                    <m:t>3</m:t>
                  </m:r>
                </m:e>
              </m:d>
            </m:e>
          </m:eqArr>
        </m:oMath>
      </m:oMathPara>
    </w:p>
    <w:p w14:paraId="45CEF437" w14:textId="77777777" w:rsidR="000A565B" w:rsidRPr="000A565B" w:rsidRDefault="000A565B" w:rsidP="000A565B">
      <w:pPr>
        <w:rPr>
          <w:lang w:val="en-US"/>
        </w:rPr>
      </w:pPr>
      <w:r w:rsidRPr="000A565B">
        <w:rPr>
          <w:lang w:val="en-US"/>
        </w:rPr>
        <w:t xml:space="preserve">where: </w:t>
      </w:r>
    </w:p>
    <w:p w14:paraId="2F7BBD9E" w14:textId="77777777" w:rsidR="000A565B" w:rsidRPr="000A565B" w:rsidRDefault="000A565B" w:rsidP="000A565B">
      <w:pPr>
        <w:rPr>
          <w:lang w:val="en-US"/>
        </w:rPr>
      </w:pPr>
    </w:p>
    <w:p w14:paraId="392635DC" w14:textId="69A805C3" w:rsidR="000A565B" w:rsidRPr="000A565B" w:rsidRDefault="00000000" w:rsidP="000A565B">
      <w:pPr>
        <w:rPr>
          <w:lang w:val="en-US"/>
        </w:rPr>
      </w:pPr>
      <m:oMathPara>
        <m:oMath>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 xml:space="preserve">= </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&lt;K</m:t>
                  </m:r>
                </m:e>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p</m:t>
                          </m:r>
                        </m:e>
                        <m:sub>
                          <m:r>
                            <w:rPr>
                              <w:rFonts w:ascii="Cambria Math" w:hAnsi="Cambria Math"/>
                            </w:rPr>
                            <m:t>N</m:t>
                          </m:r>
                        </m:sub>
                      </m:sSub>
                    </m:e>
                    <m:sup>
                      <m:r>
                        <w:rPr>
                          <w:rFonts w:ascii="Cambria Math" w:hAnsi="Cambria Math"/>
                          <w:lang w:val="en-US"/>
                        </w:rPr>
                        <m:t>K</m:t>
                      </m:r>
                    </m:sup>
                  </m:sSup>
                  <m:r>
                    <w:rPr>
                      <w:rFonts w:ascii="Cambria Math" w:hAnsi="Cambria Math"/>
                      <w:lang w:val="en-US"/>
                    </w:rPr>
                    <m:t xml:space="preserve">          if </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lang w:val="en-US"/>
                    </w:rPr>
                    <m:t>&gt;K</m:t>
                  </m:r>
                </m:e>
              </m:eqArr>
            </m:e>
          </m:d>
        </m:oMath>
      </m:oMathPara>
    </w:p>
    <w:p w14:paraId="09ECFC23" w14:textId="77777777" w:rsidR="000A565B" w:rsidRPr="000A565B" w:rsidRDefault="000A565B" w:rsidP="000A565B">
      <w:pPr>
        <w:rPr>
          <w:lang w:val="en-US"/>
        </w:rPr>
      </w:pPr>
    </w:p>
    <w:p w14:paraId="5AA9091B" w14:textId="77777777" w:rsidR="00244D12" w:rsidRDefault="00244D12" w:rsidP="00B800EF">
      <w:pPr>
        <w:rPr>
          <w:lang w:val="en-US"/>
        </w:rPr>
      </w:pPr>
    </w:p>
    <w:p w14:paraId="63A504AE" w14:textId="0D63836F" w:rsidR="00AF60DE" w:rsidRPr="00AF60DE" w:rsidRDefault="00AF60DE" w:rsidP="00AF60DE">
      <w:pPr>
        <w:rPr>
          <w:lang w:val="en-GB"/>
        </w:rPr>
      </w:pPr>
      <w:r w:rsidRPr="00AF60DE">
        <w:rPr>
          <w:lang w:val="en-GB"/>
        </w:rPr>
        <w:t xml:space="preserve">How to make the </w:t>
      </w:r>
      <w:r w:rsidR="00A163B1">
        <w:rPr>
          <w:lang w:val="en-GB"/>
        </w:rPr>
        <w:t>behavioural</w:t>
      </w:r>
      <w:r w:rsidRPr="00AF60DE">
        <w:rPr>
          <w:lang w:val="en-GB"/>
        </w:rPr>
        <w:t xml:space="preserve"> adjustment:</w:t>
      </w:r>
    </w:p>
    <w:p w14:paraId="4CB17368" w14:textId="77777777" w:rsidR="00AF60DE" w:rsidRPr="00AF60DE" w:rsidRDefault="00AF60DE" w:rsidP="00AF60DE">
      <w:pPr>
        <w:numPr>
          <w:ilvl w:val="0"/>
          <w:numId w:val="7"/>
        </w:numPr>
        <w:rPr>
          <w:lang w:val="en-GB"/>
        </w:rPr>
      </w:pPr>
      <w:r w:rsidRPr="00AF60DE">
        <w:rPr>
          <w:lang w:val="en-GB"/>
        </w:rPr>
        <w:t xml:space="preserve">Farmers are especially sensitive to initial losses </w:t>
      </w:r>
      <w:r w:rsidRPr="00AF60DE">
        <w:rPr>
          <w:lang w:val="en-GB"/>
        </w:rPr>
        <w:sym w:font="Wingdings" w:char="F0E0"/>
      </w:r>
      <w:r w:rsidRPr="00AF60DE">
        <w:rPr>
          <w:lang w:val="en-GB"/>
        </w:rPr>
        <w:t xml:space="preserve"> reduced or progressive deductibles</w:t>
      </w:r>
    </w:p>
    <w:p w14:paraId="4EA541B6" w14:textId="77777777" w:rsidR="00AF60DE" w:rsidRPr="00AF60DE" w:rsidRDefault="00AF60DE" w:rsidP="00AF60DE">
      <w:pPr>
        <w:numPr>
          <w:ilvl w:val="0"/>
          <w:numId w:val="7"/>
        </w:numPr>
        <w:rPr>
          <w:lang w:val="en-GB"/>
        </w:rPr>
      </w:pPr>
      <w:r w:rsidRPr="00AF60DE">
        <w:rPr>
          <w:lang w:val="en-GB"/>
        </w:rPr>
        <w:t>Coverage just above the reference price (moving average?)</w:t>
      </w:r>
    </w:p>
    <w:p w14:paraId="34D6B04B" w14:textId="77777777" w:rsidR="00AF60DE" w:rsidRPr="00AF60DE" w:rsidRDefault="00AF60DE" w:rsidP="00AF60DE">
      <w:pPr>
        <w:numPr>
          <w:ilvl w:val="0"/>
          <w:numId w:val="7"/>
        </w:numPr>
        <w:rPr>
          <w:lang w:val="en-GB"/>
        </w:rPr>
      </w:pPr>
      <w:r w:rsidRPr="00AF60DE">
        <w:rPr>
          <w:lang w:val="en-GB"/>
        </w:rPr>
        <w:t>Maybe insurance layer (</w:t>
      </w:r>
      <w:r w:rsidRPr="00AF60DE">
        <w:rPr>
          <w:lang w:val="en-US"/>
        </w:rPr>
        <w:fldChar w:fldCharType="begin"/>
      </w:r>
      <w:r w:rsidRPr="00AF60DE">
        <w:rPr>
          <w:lang w:val="en-GB"/>
        </w:rPr>
        <w:instrText xml:space="preserve"> ADDIN ZOTERO_ITEM CSL_CITATION {"citationID":"6XDcOwOZ","properties":{"formattedCitation":"(Sung et al., 2011)","plainCitation":"(Sung et al., 2011)","dontUpdate":true,"noteIndex":0},"citationItems":[{"id":126946,"uris":["http://zotero.org/users/14812719/items/3MIR4K9B"],"itemData":{"id":126946,"type":"article-journal","abstract":"The present work studies the optimal insurance policy offered by an insurer adopting a proportional premium principle to an insured whose decision-making behavior is modeled by Kahneman and Tversky’s Cumulative Prospect Theory with convex probability distortions. We show that, under a fixed premium rate, the optimal insurance policy is a generalized insurance layer (that is, either an insurance layer or a stop–loss insurance). This optimal insurance decision problem is resolved by first converting it into three different sub-problems similar to those in Jin and Zhou (2008); however, as we now demand a more regular optimal solution, a completely different approach has been developed to tackle them. When the premium is regarded as a decision variable and there is no risk loading, the optimal indemnity schedule in this form has no deductibles but a cap; further results also suggests that the deductible amount will be reduced if the risk loading is decreased. As a whole, our paper provides a theoretical explanation for the popularity of limited coverage insurance policies in the market as observed by many socio-economists, which serves as a mathematical bridge between behavioral finance and actuarial science.","container-title":"Insurance: Mathematics and Economics","DOI":"10.1016/j.insmatheco.2011.04.008","ISSN":"01676687","issue":"3","journalAbbreviation":"Insurance: Mathematics and Economics","language":"en","license":"https://www.elsevier.com/tdm/userlicense/1.0/","page":"418-428","source":"DOI.org (Crossref)","title":"Behavioral optimal insurance","volume":"49","author":[{"family":"Sung","given":"K.C.J."},{"family":"Yam","given":"S.C.P."},{"family":"Yung","given":"S.P."},{"family":"Zhou","given":"J.H."}],"issued":{"date-parts":[["2011",11]]}}}],"schema":"https://github.com/citation-style-language/schema/raw/master/csl-citation.json"} </w:instrText>
      </w:r>
      <w:r w:rsidRPr="00AF60DE">
        <w:rPr>
          <w:lang w:val="en-US"/>
        </w:rPr>
        <w:fldChar w:fldCharType="separate"/>
      </w:r>
      <w:r w:rsidRPr="00AF60DE">
        <w:rPr>
          <w:lang w:val="en-GB"/>
        </w:rPr>
        <w:t>Sung et al., 2011)</w:t>
      </w:r>
      <w:r w:rsidRPr="00AF60DE">
        <w:rPr>
          <w:lang w:val="en-US"/>
        </w:rPr>
        <w:fldChar w:fldCharType="end"/>
      </w:r>
      <w:r w:rsidRPr="00AF60DE">
        <w:rPr>
          <w:lang w:val="en-US"/>
        </w:rPr>
        <w:t xml:space="preserve"> </w:t>
      </w:r>
    </w:p>
    <w:p w14:paraId="2B360A89" w14:textId="77777777" w:rsidR="00AF60DE" w:rsidRPr="00AF60DE" w:rsidRDefault="00AF60DE" w:rsidP="00AF60DE">
      <w:pPr>
        <w:numPr>
          <w:ilvl w:val="1"/>
          <w:numId w:val="7"/>
        </w:numPr>
        <w:rPr>
          <w:lang w:val="en-GB"/>
        </w:rPr>
      </w:pPr>
      <w:r w:rsidRPr="00AF60DE">
        <w:rPr>
          <w:lang w:val="en-US"/>
        </w:rPr>
        <w:t>One for small losses (frequent, lower payouts)</w:t>
      </w:r>
    </w:p>
    <w:p w14:paraId="533EE2B7" w14:textId="77777777" w:rsidR="00AF60DE" w:rsidRPr="00AF60DE" w:rsidRDefault="00AF60DE" w:rsidP="00AF60DE">
      <w:pPr>
        <w:numPr>
          <w:ilvl w:val="1"/>
          <w:numId w:val="7"/>
        </w:numPr>
        <w:rPr>
          <w:lang w:val="en-GB"/>
        </w:rPr>
      </w:pPr>
      <w:r w:rsidRPr="00AF60DE">
        <w:rPr>
          <w:lang w:val="en-US"/>
        </w:rPr>
        <w:t>One for catastrophic losses (rare, high payouts)</w:t>
      </w:r>
    </w:p>
    <w:p w14:paraId="47C3E424" w14:textId="77777777" w:rsidR="00AF60DE" w:rsidRDefault="00AF60DE" w:rsidP="00B800EF">
      <w:pPr>
        <w:rPr>
          <w:lang w:val="en-US"/>
        </w:rPr>
      </w:pPr>
    </w:p>
    <w:p w14:paraId="3D19039A" w14:textId="77777777" w:rsidR="00F54218" w:rsidRDefault="00F54218" w:rsidP="00B800EF">
      <w:pPr>
        <w:rPr>
          <w:lang w:val="en-US"/>
        </w:rPr>
      </w:pPr>
    </w:p>
    <w:p w14:paraId="472B2E2E" w14:textId="21B89E5B" w:rsidR="00F54218" w:rsidRDefault="00BA75E5" w:rsidP="004F2656">
      <w:pPr>
        <w:tabs>
          <w:tab w:val="num" w:pos="720"/>
        </w:tabs>
        <w:rPr>
          <w:lang w:val="en-GB"/>
        </w:rPr>
      </w:pPr>
      <w:r w:rsidRPr="00306FF7">
        <w:rPr>
          <w:lang w:val="en-GB"/>
        </w:rPr>
        <w:t>Farmers often don't know the true probability distribution of future prices</w:t>
      </w:r>
      <w:r w:rsidR="00F06356">
        <w:rPr>
          <w:lang w:val="en-GB"/>
        </w:rPr>
        <w:t xml:space="preserve">, </w:t>
      </w:r>
      <w:r w:rsidRPr="00306FF7">
        <w:rPr>
          <w:lang w:val="en-GB"/>
        </w:rPr>
        <w:t>especially under</w:t>
      </w:r>
      <w:r w:rsidR="00F06356">
        <w:rPr>
          <w:lang w:val="en-GB"/>
        </w:rPr>
        <w:t xml:space="preserve"> p</w:t>
      </w:r>
      <w:r w:rsidRPr="00306FF7">
        <w:rPr>
          <w:lang w:val="en-GB"/>
        </w:rPr>
        <w:t>olicy uncertainty</w:t>
      </w:r>
      <w:r w:rsidR="00C418C2">
        <w:rPr>
          <w:lang w:val="en-GB"/>
        </w:rPr>
        <w:t xml:space="preserve"> or</w:t>
      </w:r>
      <w:r w:rsidR="00F06356">
        <w:rPr>
          <w:lang w:val="en-GB"/>
        </w:rPr>
        <w:t xml:space="preserve"> m</w:t>
      </w:r>
      <w:r w:rsidRPr="00306FF7">
        <w:rPr>
          <w:lang w:val="en-GB"/>
        </w:rPr>
        <w:t xml:space="preserve">arket shocks (e.g., </w:t>
      </w:r>
      <w:r w:rsidR="00CA12B3">
        <w:rPr>
          <w:lang w:val="en-GB"/>
        </w:rPr>
        <w:t xml:space="preserve">geopolitical </w:t>
      </w:r>
      <w:r w:rsidR="00D13769">
        <w:rPr>
          <w:lang w:val="en-GB"/>
        </w:rPr>
        <w:t>events</w:t>
      </w:r>
      <w:r w:rsidRPr="00306FF7">
        <w:rPr>
          <w:lang w:val="en-GB"/>
        </w:rPr>
        <w:t>, pandemics</w:t>
      </w:r>
      <w:r w:rsidR="00C418C2">
        <w:rPr>
          <w:lang w:val="en-GB"/>
        </w:rPr>
        <w:t>, climate change</w:t>
      </w:r>
      <w:r w:rsidRPr="00306FF7">
        <w:rPr>
          <w:lang w:val="en-GB"/>
        </w:rPr>
        <w:t>)</w:t>
      </w:r>
      <w:r w:rsidR="00C418C2">
        <w:rPr>
          <w:lang w:val="en-GB"/>
        </w:rPr>
        <w:t>.</w:t>
      </w:r>
    </w:p>
    <w:p w14:paraId="07412C3A" w14:textId="77777777" w:rsidR="00040388" w:rsidRDefault="00040388" w:rsidP="004F2656">
      <w:pPr>
        <w:tabs>
          <w:tab w:val="num" w:pos="720"/>
        </w:tabs>
        <w:rPr>
          <w:lang w:val="en-GB"/>
        </w:rPr>
      </w:pPr>
    </w:p>
    <w:p w14:paraId="3E3DE4D2" w14:textId="77777777" w:rsidR="00F43ACF" w:rsidRPr="0011582A" w:rsidRDefault="00F43ACF" w:rsidP="00F43ACF">
      <w:pPr>
        <w:jc w:val="both"/>
        <w:rPr>
          <w:szCs w:val="22"/>
          <w:lang w:val="en-US"/>
        </w:rPr>
      </w:pPr>
      <w:r w:rsidRPr="0011582A">
        <w:rPr>
          <w:szCs w:val="22"/>
          <w:lang w:val="en-GB"/>
        </w:rPr>
        <w:t xml:space="preserve">Assuming </w:t>
      </w:r>
      <m:oMath>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oMath>
      <w:r w:rsidRPr="0011582A">
        <w:rPr>
          <w:szCs w:val="22"/>
          <w:lang w:val="en-GB"/>
        </w:rPr>
        <w:t xml:space="preserve"> as the probabilities of each single outcome </w:t>
      </w:r>
      <m:oMath>
        <m:d>
          <m:dPr>
            <m:ctrlPr>
              <w:rPr>
                <w:rFonts w:ascii="Cambria Math" w:hAnsi="Cambria Math"/>
                <w:szCs w:val="22"/>
              </w:rPr>
            </m:ctrlPr>
          </m:dPr>
          <m:e>
            <m:r>
              <w:rPr>
                <w:rFonts w:ascii="Cambria Math" w:hAnsi="Cambria Math"/>
                <w:szCs w:val="22"/>
              </w:rPr>
              <m:t>σ</m:t>
            </m:r>
          </m:e>
        </m:d>
      </m:oMath>
      <w:r w:rsidRPr="0011582A">
        <w:rPr>
          <w:szCs w:val="22"/>
          <w:lang w:val="en-US"/>
        </w:rPr>
        <w:t>:</w:t>
      </w:r>
    </w:p>
    <w:p w14:paraId="678029A6" w14:textId="77777777" w:rsidR="00F43ACF" w:rsidRPr="0011582A" w:rsidRDefault="00F43ACF" w:rsidP="00F43ACF">
      <w:pPr>
        <w:jc w:val="both"/>
        <w:rPr>
          <w:szCs w:val="22"/>
          <w:lang w:val="en-US"/>
        </w:rPr>
      </w:pPr>
    </w:p>
    <w:p w14:paraId="3ACAAB95" w14:textId="77777777" w:rsidR="00F43ACF" w:rsidRPr="0011582A" w:rsidRDefault="00000000" w:rsidP="00F43ACF">
      <w:pPr>
        <w:jc w:val="both"/>
        <w:rPr>
          <w:szCs w:val="22"/>
        </w:rPr>
      </w:pPr>
      <m:oMathPara>
        <m:oMath>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n</m:t>
                  </m:r>
                </m:sub>
              </m:sSub>
            </m:e>
          </m:d>
        </m:oMath>
      </m:oMathPara>
    </w:p>
    <w:p w14:paraId="0C254AA6" w14:textId="77777777" w:rsidR="00F43ACF" w:rsidRPr="0011582A" w:rsidRDefault="00F43ACF" w:rsidP="00F43ACF">
      <w:pPr>
        <w:jc w:val="both"/>
        <w:rPr>
          <w:szCs w:val="22"/>
        </w:rPr>
      </w:pPr>
    </w:p>
    <w:p w14:paraId="0DAD7BC7" w14:textId="77777777" w:rsidR="00F43ACF" w:rsidRPr="00253A53" w:rsidRDefault="00F43ACF" w:rsidP="00F43ACF">
      <w:pPr>
        <w:jc w:val="both"/>
        <w:rPr>
          <w:iCs/>
          <w:szCs w:val="22"/>
        </w:rPr>
      </w:pPr>
      <m:oMathPara>
        <m:oMath>
          <m:r>
            <m:rPr>
              <m:sty m:val="p"/>
            </m:rPr>
            <w:rPr>
              <w:rFonts w:ascii="Cambria Math" w:hAnsi="Cambria Math"/>
              <w:szCs w:val="22"/>
            </w:rPr>
            <m:t xml:space="preserve"> </m:t>
          </m:r>
          <m:sSup>
            <m:sSupPr>
              <m:ctrlPr>
                <w:rPr>
                  <w:rFonts w:ascii="Cambria Math" w:hAnsi="Cambria Math"/>
                  <w:i/>
                  <w:iCs/>
                  <w:szCs w:val="22"/>
                </w:rPr>
              </m:ctrlPr>
            </m:sSupPr>
            <m:e>
              <m:r>
                <w:rPr>
                  <w:rFonts w:ascii="Cambria Math" w:hAnsi="Cambria Math"/>
                  <w:szCs w:val="22"/>
                </w:rPr>
                <m:t>ϑ</m:t>
              </m:r>
            </m:e>
            <m:sup>
              <m:r>
                <w:rPr>
                  <w:rFonts w:ascii="Cambria Math" w:hAnsi="Cambria Math"/>
                  <w:szCs w:val="22"/>
                </w:rPr>
                <m:t>-</m:t>
              </m:r>
            </m:sup>
          </m:sSup>
          <m:r>
            <m:rPr>
              <m:sty m:val="p"/>
            </m:rP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m:t>
                  </m:r>
                </m:sub>
              </m:sSub>
            </m:e>
          </m:d>
          <m:r>
            <w:rPr>
              <w:rFonts w:ascii="Cambria Math" w:hAnsi="Cambria Math"/>
              <w:szCs w:val="22"/>
            </w:rPr>
            <m:t>-</m:t>
          </m:r>
          <m:sSup>
            <m:sSupPr>
              <m:ctrlPr>
                <w:rPr>
                  <w:rFonts w:ascii="Cambria Math" w:hAnsi="Cambria Math"/>
                  <w:i/>
                  <w:iCs/>
                  <w:szCs w:val="22"/>
                </w:rPr>
              </m:ctrlPr>
            </m:sSupPr>
            <m:e>
              <m:r>
                <w:rPr>
                  <w:rFonts w:ascii="Cambria Math" w:hAnsi="Cambria Math"/>
                  <w:szCs w:val="22"/>
                </w:rPr>
                <m:t>w</m:t>
              </m:r>
            </m:e>
            <m:sup>
              <m:r>
                <w:rPr>
                  <w:rFonts w:ascii="Cambria Math" w:hAnsi="Cambria Math"/>
                  <w:szCs w:val="22"/>
                </w:rPr>
                <m:t>+</m:t>
              </m:r>
            </m:sup>
          </m:sSup>
          <m:d>
            <m:dPr>
              <m:ctrlPr>
                <w:rPr>
                  <w:rFonts w:ascii="Cambria Math" w:hAnsi="Cambria Math"/>
                  <w:i/>
                  <w:iCs/>
                  <w:szCs w:val="22"/>
                </w:rPr>
              </m:ctrlPr>
            </m:dPr>
            <m:e>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m</m:t>
                  </m:r>
                </m:sub>
              </m:sSub>
              <m:r>
                <w:rPr>
                  <w:rFonts w:ascii="Cambria Math" w:hAnsi="Cambria Math"/>
                  <w:szCs w:val="22"/>
                </w:rPr>
                <m:t>+…+</m:t>
              </m:r>
              <m:sSub>
                <m:sSubPr>
                  <m:ctrlPr>
                    <w:rPr>
                      <w:rFonts w:ascii="Cambria Math" w:hAnsi="Cambria Math"/>
                      <w:i/>
                      <w:iCs/>
                      <w:szCs w:val="22"/>
                    </w:rPr>
                  </m:ctrlPr>
                </m:sSubPr>
                <m:e>
                  <m:r>
                    <w:rPr>
                      <w:rFonts w:ascii="Cambria Math" w:hAnsi="Cambria Math"/>
                      <w:szCs w:val="22"/>
                    </w:rPr>
                    <m:t>p</m:t>
                  </m:r>
                </m:e>
                <m:sub>
                  <m:r>
                    <w:rPr>
                      <w:rFonts w:ascii="Cambria Math" w:hAnsi="Cambria Math"/>
                      <w:szCs w:val="22"/>
                    </w:rPr>
                    <m:t>i-1</m:t>
                  </m:r>
                </m:sub>
              </m:sSub>
            </m:e>
          </m:d>
        </m:oMath>
      </m:oMathPara>
    </w:p>
    <w:p w14:paraId="537240FB" w14:textId="77777777" w:rsidR="00F43ACF" w:rsidRDefault="00F43ACF" w:rsidP="00F43ACF">
      <w:pPr>
        <w:jc w:val="both"/>
        <w:rPr>
          <w:iCs/>
          <w:szCs w:val="22"/>
        </w:rPr>
      </w:pPr>
    </w:p>
    <w:p w14:paraId="406B45D0" w14:textId="77777777" w:rsidR="00040388" w:rsidRDefault="00040388" w:rsidP="00040388">
      <w:pPr>
        <w:jc w:val="both"/>
        <w:rPr>
          <w:sz w:val="20"/>
          <w:szCs w:val="18"/>
          <w:lang w:val="en-US"/>
        </w:rPr>
      </w:pPr>
    </w:p>
    <w:p w14:paraId="430B0A36" w14:textId="77777777" w:rsidR="00040388" w:rsidRDefault="00040388" w:rsidP="00040388">
      <w:pPr>
        <w:jc w:val="both"/>
        <w:rPr>
          <w:sz w:val="20"/>
          <w:szCs w:val="18"/>
          <w:lang w:val="en-US"/>
        </w:rPr>
      </w:pPr>
    </w:p>
    <w:p w14:paraId="4EDA322C" w14:textId="783195F3" w:rsidR="00040388" w:rsidRDefault="007B5DC5" w:rsidP="007B5DC5">
      <w:pPr>
        <w:rPr>
          <w:lang w:val="en-US"/>
        </w:rPr>
      </w:pPr>
      <w:r w:rsidRPr="007B5DC5">
        <w:rPr>
          <w:lang w:val="en-US"/>
        </w:rPr>
        <w:t xml:space="preserve">By introducing an option mechanism that caps losses at a predetermined threshold \left(K\right), allow us to behaviourally adjust the contract to address farmers’ loss aversion.  </w:t>
      </w:r>
    </w:p>
    <w:p w14:paraId="5FC43ECF" w14:textId="77777777" w:rsidR="00B90618" w:rsidRDefault="00B90618" w:rsidP="007B5DC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B90618" w:rsidRPr="004C5971" w14:paraId="160E67B6" w14:textId="77777777" w:rsidTr="00EC4966">
        <w:tc>
          <w:tcPr>
            <w:tcW w:w="5000" w:type="pct"/>
            <w:tcBorders>
              <w:top w:val="single" w:sz="4" w:space="0" w:color="auto"/>
              <w:bottom w:val="single" w:sz="4" w:space="0" w:color="auto"/>
            </w:tcBorders>
          </w:tcPr>
          <w:p w14:paraId="1970C3A6" w14:textId="77777777" w:rsidR="00B90618" w:rsidRPr="004C5971" w:rsidRDefault="00B90618" w:rsidP="00ED10A0">
            <w:pPr>
              <w:spacing w:line="360" w:lineRule="auto"/>
              <w:jc w:val="center"/>
              <w:rPr>
                <w:b/>
                <w:bCs/>
                <w:sz w:val="18"/>
                <w:szCs w:val="16"/>
                <w:lang w:val="en-US"/>
              </w:rPr>
            </w:pPr>
            <w:r>
              <w:rPr>
                <w:b/>
                <w:bCs/>
                <w:sz w:val="18"/>
                <w:szCs w:val="16"/>
                <w:lang w:val="en-US"/>
              </w:rPr>
              <w:t xml:space="preserve">Adjusted </w:t>
            </w:r>
            <w:r w:rsidRPr="004C5971">
              <w:rPr>
                <w:b/>
                <w:bCs/>
                <w:sz w:val="18"/>
                <w:szCs w:val="16"/>
                <w:lang w:val="en-US"/>
              </w:rPr>
              <w:t>“</w:t>
            </w:r>
            <w:r>
              <w:rPr>
                <w:b/>
                <w:bCs/>
                <w:sz w:val="18"/>
                <w:szCs w:val="16"/>
                <w:lang w:val="en-US"/>
              </w:rPr>
              <w:t>Range</w:t>
            </w:r>
            <w:r w:rsidRPr="004C5971">
              <w:rPr>
                <w:b/>
                <w:bCs/>
                <w:sz w:val="18"/>
                <w:szCs w:val="16"/>
                <w:lang w:val="en-US"/>
              </w:rPr>
              <w:t>” contract</w:t>
            </w:r>
          </w:p>
        </w:tc>
      </w:tr>
      <w:tr w:rsidR="00B90618" w:rsidRPr="00B15993" w14:paraId="35ED1664" w14:textId="77777777" w:rsidTr="00EC4966">
        <w:tc>
          <w:tcPr>
            <w:tcW w:w="5000" w:type="pct"/>
            <w:vAlign w:val="center"/>
          </w:tcPr>
          <w:p w14:paraId="41AD71A1" w14:textId="77777777" w:rsidR="00B90618" w:rsidRPr="00B15993" w:rsidRDefault="00000000" w:rsidP="00ED10A0">
            <w:pPr>
              <w:spacing w:line="360" w:lineRule="auto"/>
              <w:jc w:val="center"/>
              <w:rPr>
                <w:rFonts w:ascii="Times New Roman" w:eastAsia="Calibri" w:hAnsi="Times New Roman"/>
                <w:sz w:val="18"/>
                <w:szCs w:val="16"/>
                <w:lang w:val="en-US"/>
              </w:rPr>
            </w:pPr>
            <m:oMathPara>
              <m:oMath>
                <m:d>
                  <m:dPr>
                    <m:begChr m:val="{"/>
                    <m:endChr m:val=""/>
                    <m:ctrlPr>
                      <w:rPr>
                        <w:rFonts w:ascii="Cambria Math" w:eastAsia="Calibri" w:hAnsi="Cambria Math"/>
                        <w:i/>
                        <w:sz w:val="18"/>
                        <w:szCs w:val="16"/>
                        <w:lang w:val="en-US"/>
                      </w:rPr>
                    </m:ctrlPr>
                  </m:dPr>
                  <m:e>
                    <m:eqArr>
                      <m:eqArrPr>
                        <m:ctrlPr>
                          <w:rPr>
                            <w:rFonts w:ascii="Cambria Math" w:eastAsia="Calibri" w:hAnsi="Cambria Math"/>
                            <w:i/>
                            <w:sz w:val="18"/>
                            <w:szCs w:val="16"/>
                            <w:lang w:val="en-US"/>
                          </w:rPr>
                        </m:ctrlPr>
                      </m:eqArrPr>
                      <m:e>
                        <m:r>
                          <w:rPr>
                            <w:rFonts w:ascii="Cambria Math" w:hAnsi="Cambria Math"/>
                            <w:sz w:val="18"/>
                            <w:szCs w:val="16"/>
                            <w:lang w:val="en-US"/>
                          </w:rPr>
                          <m:t xml:space="preserve">S-K                 if </m:t>
                        </m:r>
                        <m:r>
                          <w:rPr>
                            <w:rFonts w:ascii="Cambria Math" w:hAnsi="Cambria Math" w:cs="Calibri"/>
                            <w:sz w:val="18"/>
                            <w:szCs w:val="16"/>
                          </w:rPr>
                          <m:t>S</m:t>
                        </m:r>
                        <m:r>
                          <w:rPr>
                            <w:rFonts w:ascii="Cambria Math" w:hAnsi="Cambria Math"/>
                            <w:sz w:val="18"/>
                            <w:szCs w:val="16"/>
                            <w:lang w:val="en-US"/>
                          </w:rPr>
                          <m:t>&gt;K</m:t>
                        </m:r>
                      </m:e>
                      <m:e>
                        <m:r>
                          <w:rPr>
                            <w:rFonts w:ascii="Cambria Math" w:hAnsi="Cambria Math" w:cs="Calibri"/>
                            <w:sz w:val="18"/>
                            <w:szCs w:val="16"/>
                          </w:rPr>
                          <m:t>S</m:t>
                        </m:r>
                        <m:r>
                          <w:rPr>
                            <w:rFonts w:ascii="Cambria Math" w:hAnsi="Cambria Math"/>
                            <w:sz w:val="18"/>
                            <w:szCs w:val="16"/>
                            <w:lang w:val="en-US"/>
                          </w:rPr>
                          <m:t xml:space="preserve">                  if L</m:t>
                        </m:r>
                        <m:r>
                          <w:rPr>
                            <w:rFonts w:ascii="Cambria Math" w:hAnsi="Cambria Math"/>
                            <w:sz w:val="18"/>
                            <w:szCs w:val="16"/>
                          </w:rPr>
                          <m:t>≤</m:t>
                        </m:r>
                        <m:r>
                          <w:rPr>
                            <w:rFonts w:ascii="Cambria Math" w:hAnsi="Cambria Math" w:cs="Calibri"/>
                            <w:sz w:val="18"/>
                            <w:szCs w:val="16"/>
                          </w:rPr>
                          <m:t>S</m:t>
                        </m:r>
                        <m:r>
                          <w:rPr>
                            <w:rFonts w:ascii="Cambria Math" w:hAnsi="Cambria Math"/>
                            <w:sz w:val="18"/>
                            <w:szCs w:val="16"/>
                          </w:rPr>
                          <m:t>≤</m:t>
                        </m:r>
                        <m:r>
                          <w:rPr>
                            <w:rFonts w:ascii="Cambria Math" w:hAnsi="Cambria Math"/>
                            <w:sz w:val="18"/>
                            <w:szCs w:val="16"/>
                            <w:lang w:val="en-US"/>
                          </w:rPr>
                          <m:t>K</m:t>
                        </m:r>
                      </m:e>
                      <m:e>
                        <m:r>
                          <w:rPr>
                            <w:rFonts w:ascii="Cambria Math" w:eastAsia="Calibri" w:hAnsi="Cambria Math"/>
                            <w:sz w:val="18"/>
                            <w:szCs w:val="16"/>
                            <w:lang w:val="en-US"/>
                          </w:rPr>
                          <m:t xml:space="preserve">L </m:t>
                        </m:r>
                        <m:r>
                          <w:rPr>
                            <w:rFonts w:ascii="Cambria Math" w:hAnsi="Cambria Math"/>
                            <w:sz w:val="18"/>
                            <w:szCs w:val="16"/>
                            <w:lang w:val="en-US"/>
                          </w:rPr>
                          <m:t xml:space="preserve">                          if </m:t>
                        </m:r>
                        <m:r>
                          <w:rPr>
                            <w:rFonts w:ascii="Cambria Math" w:hAnsi="Cambria Math" w:cs="Calibri"/>
                            <w:sz w:val="18"/>
                            <w:szCs w:val="16"/>
                          </w:rPr>
                          <m:t>S</m:t>
                        </m:r>
                        <m:r>
                          <w:rPr>
                            <w:rFonts w:ascii="Cambria Math" w:hAnsi="Cambria Math"/>
                            <w:sz w:val="18"/>
                            <w:szCs w:val="16"/>
                          </w:rPr>
                          <m:t>&lt;L</m:t>
                        </m:r>
                      </m:e>
                    </m:eqArr>
                  </m:e>
                </m:d>
              </m:oMath>
            </m:oMathPara>
          </w:p>
        </w:tc>
      </w:tr>
      <w:tr w:rsidR="00B90618" w:rsidRPr="00BF5250" w14:paraId="5C4D75D9" w14:textId="77777777" w:rsidTr="00EC4966">
        <w:trPr>
          <w:trHeight w:val="277"/>
        </w:trPr>
        <w:tc>
          <w:tcPr>
            <w:tcW w:w="5000" w:type="pct"/>
            <w:vAlign w:val="center"/>
          </w:tcPr>
          <w:p w14:paraId="6380B931" w14:textId="77777777" w:rsidR="00B90618" w:rsidRPr="00BF5250" w:rsidRDefault="00B90618" w:rsidP="00ED10A0">
            <w:pPr>
              <w:spacing w:line="360" w:lineRule="auto"/>
              <w:jc w:val="center"/>
              <w:rPr>
                <w:rFonts w:ascii="Times New Roman" w:eastAsia="Calibri" w:hAnsi="Times New Roman"/>
                <w:sz w:val="18"/>
                <w:szCs w:val="16"/>
              </w:rPr>
            </w:pPr>
            <w:r>
              <w:rPr>
                <w:rFonts w:ascii="Times New Roman" w:eastAsia="Calibri" w:hAnsi="Times New Roman"/>
                <w:sz w:val="18"/>
                <w:szCs w:val="16"/>
              </w:rPr>
              <w:t>??</w:t>
            </w:r>
          </w:p>
        </w:tc>
      </w:tr>
      <w:tr w:rsidR="00B90618" w:rsidRPr="00BF5250" w14:paraId="2D932F72" w14:textId="77777777" w:rsidTr="00EC4966">
        <w:trPr>
          <w:trHeight w:val="281"/>
        </w:trPr>
        <w:tc>
          <w:tcPr>
            <w:tcW w:w="5000" w:type="pct"/>
            <w:vAlign w:val="center"/>
          </w:tcPr>
          <w:p w14:paraId="22AEF900" w14:textId="77777777" w:rsidR="00B90618" w:rsidRPr="00BF5250" w:rsidRDefault="00B90618" w:rsidP="00ED10A0">
            <w:pPr>
              <w:spacing w:line="360" w:lineRule="auto"/>
              <w:jc w:val="center"/>
              <w:rPr>
                <w:rFonts w:ascii="Times New Roman" w:eastAsia="Calibri" w:hAnsi="Times New Roman"/>
                <w:sz w:val="18"/>
                <w:szCs w:val="16"/>
                <w:lang w:val="en-US"/>
              </w:rPr>
            </w:pPr>
            <m:oMathPara>
              <m:oMath>
                <m:r>
                  <w:rPr>
                    <w:rFonts w:ascii="Cambria Math" w:hAnsi="Cambria Math"/>
                    <w:sz w:val="18"/>
                    <w:szCs w:val="16"/>
                    <w:lang w:val="en-US"/>
                  </w:rPr>
                  <m:t>K</m:t>
                </m:r>
              </m:oMath>
            </m:oMathPara>
          </w:p>
        </w:tc>
      </w:tr>
      <w:tr w:rsidR="00B90618" w14:paraId="67DBDE7E" w14:textId="77777777" w:rsidTr="00EC4966">
        <w:tc>
          <w:tcPr>
            <w:tcW w:w="5000" w:type="pct"/>
            <w:tcBorders>
              <w:bottom w:val="single" w:sz="4" w:space="0" w:color="auto"/>
            </w:tcBorders>
            <w:vAlign w:val="center"/>
          </w:tcPr>
          <w:p w14:paraId="028FF5F8" w14:textId="77777777" w:rsidR="00B90618" w:rsidRDefault="00B90618" w:rsidP="00ED10A0">
            <w:pPr>
              <w:spacing w:line="360" w:lineRule="auto"/>
              <w:jc w:val="center"/>
              <w:rPr>
                <w:sz w:val="18"/>
                <w:szCs w:val="16"/>
                <w:lang w:val="en-US"/>
              </w:rPr>
            </w:pPr>
            <w:r>
              <w:rPr>
                <w:sz w:val="18"/>
                <w:szCs w:val="16"/>
                <w:lang w:val="en-US"/>
              </w:rPr>
              <w:t>Loss aversion</w:t>
            </w:r>
          </w:p>
        </w:tc>
      </w:tr>
    </w:tbl>
    <w:p w14:paraId="679B3497" w14:textId="766CC843" w:rsidR="00EC4966" w:rsidRDefault="00EC4966" w:rsidP="007B5DC5">
      <w:pPr>
        <w:rPr>
          <w:szCs w:val="22"/>
          <w:lang w:val="en-US"/>
        </w:rPr>
      </w:pPr>
      <w:r>
        <w:rPr>
          <w:szCs w:val="22"/>
          <w:lang w:val="en-US"/>
        </w:rPr>
        <w:lastRenderedPageBreak/>
        <w:t>Based on the overview of decision models under ambiguity provided by Conte &amp; Hey (2013) and Hey and Pace (2014) we select WHAT??</w:t>
      </w:r>
      <w:r>
        <w:rPr>
          <w:szCs w:val="22"/>
          <w:lang w:val="en-US"/>
        </w:rPr>
        <w:br/>
      </w:r>
    </w:p>
    <w:p w14:paraId="241F905E" w14:textId="3F233C5C" w:rsidR="00DC7523" w:rsidRPr="00DC7523" w:rsidRDefault="00DC7523" w:rsidP="007B5DC5">
      <w:pPr>
        <w:rPr>
          <w:szCs w:val="22"/>
          <w:lang w:val="en-US"/>
        </w:rPr>
      </w:pPr>
      <w:r>
        <w:rPr>
          <w:szCs w:val="22"/>
          <w:lang w:val="en-US"/>
        </w:rPr>
        <w:t>Several models under ambiguity have been proposed. Conte &amp; Hey (2013) and Hey &amp; Pace (2014), assessed the most relevant decision models under ambiguity broadly dividing them</w:t>
      </w:r>
      <w:r w:rsidRPr="00072D32">
        <w:rPr>
          <w:szCs w:val="22"/>
          <w:lang w:val="en-US"/>
        </w:rPr>
        <w:t xml:space="preserve"> </w:t>
      </w:r>
      <w:r>
        <w:rPr>
          <w:szCs w:val="22"/>
          <w:lang w:val="en-US"/>
        </w:rPr>
        <w:t>into those that use second-order probabilities and those that do not. Second Order Models (SOM) assume that decision-makers are able to attach probabilities over possible probability distribution of outcomes (or probabilities of probabilities, hence the term second-order probabilities). In contrast, the set of theories under ambiguity that are not SOM assume that decision-makers do not know the values of the relevant probabilities (or don’t make subjective judgments about the possible probabilities). These models may assume that the possible probabilities of outcomes may take a range of values in the decision-maker’s mind, but he or she does not attach probabilities to these possible values.</w:t>
      </w:r>
      <w:r w:rsidRPr="00327C48">
        <w:rPr>
          <w:rStyle w:val="FootnoteReference"/>
        </w:rPr>
        <w:footnoteReference w:id="3"/>
      </w:r>
      <w:r>
        <w:rPr>
          <w:szCs w:val="22"/>
          <w:lang w:val="en-US"/>
        </w:rPr>
        <w:t xml:space="preserve"> Among the SOMs, the </w:t>
      </w:r>
      <w:r w:rsidRPr="00CA4A3A">
        <w:rPr>
          <w:szCs w:val="22"/>
          <w:lang w:val="en-US"/>
        </w:rPr>
        <w:t>Smooth Ambiguity Model</w:t>
      </w:r>
      <w:r>
        <w:rPr>
          <w:szCs w:val="22"/>
          <w:lang w:val="en-US"/>
        </w:rPr>
        <w:t xml:space="preserve"> </w:t>
      </w:r>
      <w:r>
        <w:rPr>
          <w:szCs w:val="22"/>
          <w:lang w:val="en-US"/>
        </w:rPr>
        <w:fldChar w:fldCharType="begin"/>
      </w:r>
      <w:r>
        <w:rPr>
          <w:szCs w:val="22"/>
          <w:lang w:val="en-US"/>
        </w:rPr>
        <w:instrText xml:space="preserve"> ADDIN ZOTERO_ITEM CSL_CITATION {"citationID":"pyMuZflw","properties":{"formattedCitation":"(Klibanoff et al., 2005)","plainCitation":"(Klibanoff et al., 2005)","noteIndex":0},"citationItems":[{"id":126994,"uris":["http://zotero.org/users/14812719/items/R6ZKHIJI"],"itemData":{"id":126994,"type":"article-journal","abstract":"We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u○f) </w:instrText>
      </w:r>
      <w:r>
        <w:rPr>
          <w:rFonts w:ascii="Cambria Math" w:hAnsi="Cambria Math" w:cs="Cambria Math"/>
          <w:szCs w:val="22"/>
          <w:lang w:val="en-US"/>
        </w:rPr>
        <w:instrText>𝔼</w:instrText>
      </w:r>
      <w:r>
        <w:rPr>
          <w:rFonts w:hint="eastAsia"/>
          <w:szCs w:val="22"/>
          <w:lang w:val="en-US"/>
        </w:rPr>
        <w:instrText>μφ</w:instrText>
      </w:r>
      <w:r>
        <w:rPr>
          <w:szCs w:val="22"/>
          <w:lang w:val="en-US"/>
        </w:rPr>
        <w:instrText>(</w:instrText>
      </w:r>
      <w:r>
        <w:rPr>
          <w:rFonts w:ascii="Cambria Math" w:hAnsi="Cambria Math" w:cs="Cambria Math"/>
          <w:szCs w:val="22"/>
          <w:lang w:val="en-US"/>
        </w:rPr>
        <w:instrText>𝔼</w:instrText>
      </w:r>
      <w:r>
        <w:rPr>
          <w:rFonts w:hint="eastAsia"/>
          <w:szCs w:val="22"/>
          <w:lang w:val="en-US"/>
        </w:rPr>
        <w:instrText>π</w:instrText>
      </w:r>
      <w:r>
        <w:rPr>
          <w:szCs w:val="22"/>
          <w:lang w:val="en-US"/>
        </w:rPr>
        <w:instrText xml:space="preserve">u○g), where </w:instrText>
      </w:r>
      <w:r>
        <w:rPr>
          <w:rFonts w:ascii="Cambria Math" w:hAnsi="Cambria Math" w:cs="Cambria Math"/>
          <w:szCs w:val="22"/>
          <w:lang w:val="en-US"/>
        </w:rPr>
        <w:instrText>𝔼</w:instrText>
      </w:r>
      <w:r>
        <w:rPr>
          <w:szCs w:val="22"/>
          <w:lang w:val="en-US"/>
        </w:rPr>
        <w:instrText xml:space="preserve"> is the expectation operator, u is a von Neumann–Morgenstern utility function, </w:instrText>
      </w:r>
      <w:r>
        <w:rPr>
          <w:rFonts w:hint="eastAsia"/>
          <w:szCs w:val="22"/>
          <w:lang w:val="en-US"/>
        </w:rPr>
        <w:instrText>φ</w:instrText>
      </w:r>
      <w:r>
        <w:rPr>
          <w:szCs w:val="22"/>
          <w:lang w:val="en-US"/>
        </w:rPr>
        <w:instrText xml:space="preserve">is an increasing transformation, and </w:instrText>
      </w:r>
      <w:r>
        <w:rPr>
          <w:rFonts w:hint="eastAsia"/>
          <w:szCs w:val="22"/>
          <w:lang w:val="en-US"/>
        </w:rPr>
        <w:instrText>μ</w:instrText>
      </w:r>
      <w:r>
        <w:rPr>
          <w:szCs w:val="22"/>
          <w:lang w:val="en-US"/>
        </w:rPr>
        <w:instrText xml:space="preserve">is a subjective probability over the set </w:instrText>
      </w:r>
      <w:r>
        <w:rPr>
          <w:rFonts w:hint="eastAsia"/>
          <w:szCs w:val="22"/>
          <w:lang w:val="en-US"/>
        </w:rPr>
        <w:instrText>Π</w:instrText>
      </w:r>
      <w:r>
        <w:rPr>
          <w:szCs w:val="22"/>
          <w:lang w:val="en-US"/>
        </w:rPr>
        <w:instrText xml:space="preserve">of probability measures </w:instrText>
      </w:r>
      <w:r>
        <w:rPr>
          <w:rFonts w:hint="eastAsia"/>
          <w:szCs w:val="22"/>
          <w:lang w:val="en-US"/>
        </w:rPr>
        <w:instrText>π</w:instrText>
      </w:r>
      <w:r>
        <w:rPr>
          <w:szCs w:val="22"/>
          <w:lang w:val="en-US"/>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Cs w:val="22"/>
          <w:lang w:val="en-US"/>
        </w:rPr>
        <w:instrText>φ</w:instrText>
      </w:r>
      <w:r>
        <w:rPr>
          <w:szCs w:val="22"/>
          <w:lang w:val="en-US"/>
        </w:rPr>
        <w:instrText xml:space="preserve">. Ambiguity itself is defined behaviorally and is shown to be characterized by properties of the subjective set of measures </w:instrText>
      </w:r>
      <w:r>
        <w:rPr>
          <w:rFonts w:hint="eastAsia"/>
          <w:szCs w:val="22"/>
          <w:lang w:val="en-US"/>
        </w:rPr>
        <w:instrText>Π</w:instrText>
      </w:r>
      <w:r>
        <w:rPr>
          <w:szCs w:val="22"/>
          <w:lang w:val="en-US"/>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Cs w:val="22"/>
          <w:lang w:val="en-US"/>
        </w:rPr>
        <w:fldChar w:fldCharType="separate"/>
      </w:r>
      <w:r w:rsidRPr="00C92552">
        <w:rPr>
          <w:lang w:val="en-GB"/>
        </w:rPr>
        <w:t>(Klibanoff et al., 2005)</w:t>
      </w:r>
      <w:r>
        <w:rPr>
          <w:szCs w:val="22"/>
          <w:lang w:val="en-US"/>
        </w:rPr>
        <w:fldChar w:fldCharType="end"/>
      </w:r>
      <w:r w:rsidRPr="00CA4A3A">
        <w:rPr>
          <w:szCs w:val="22"/>
          <w:lang w:val="en-US"/>
        </w:rPr>
        <w:t xml:space="preserve"> performs best at predicting decision-makers behaviour</w:t>
      </w:r>
      <w:r>
        <w:rPr>
          <w:szCs w:val="22"/>
          <w:lang w:val="en-US"/>
        </w:rPr>
        <w:t xml:space="preserve"> </w:t>
      </w:r>
      <w:r>
        <w:rPr>
          <w:szCs w:val="22"/>
          <w:lang w:val="en-US"/>
        </w:rPr>
        <w:fldChar w:fldCharType="begin"/>
      </w:r>
      <w:r>
        <w:rPr>
          <w:szCs w:val="22"/>
          <w:lang w:val="en-US"/>
        </w:rPr>
        <w:instrText xml:space="preserve"> ADDIN ZOTERO_ITEM CSL_CITATION {"citationID":"xyovLnv4","properties":{"formattedCitation":"(Conte &amp; Hey, 2013)","plainCitation":"(Conte &amp; Hey, 2013)","noteIndex":0},"citationItems":[{"id":127007,"uris":["http://zotero.org/users/14812719/items/BJZ2ZZFW"],"itemData":{"id":127007,"type":"article-journal","abstract":"The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Pr>
          <w:szCs w:val="22"/>
          <w:lang w:val="en-US"/>
        </w:rPr>
        <w:fldChar w:fldCharType="separate"/>
      </w:r>
      <w:r w:rsidRPr="00C92552">
        <w:rPr>
          <w:lang w:val="en-GB"/>
        </w:rPr>
        <w:t>(Conte &amp; Hey, 2013)</w:t>
      </w:r>
      <w:r>
        <w:rPr>
          <w:szCs w:val="22"/>
          <w:lang w:val="en-US"/>
        </w:rPr>
        <w:fldChar w:fldCharType="end"/>
      </w:r>
      <w:r>
        <w:rPr>
          <w:szCs w:val="22"/>
          <w:lang w:val="en-US"/>
        </w:rPr>
        <w:t xml:space="preserve">. Among the non-SOMs, </w:t>
      </w:r>
      <w:r>
        <w:rPr>
          <w:szCs w:val="22"/>
          <w:lang w:val="en-US"/>
        </w:rPr>
        <w:fldChar w:fldCharType="begin"/>
      </w:r>
      <w:r>
        <w:rPr>
          <w:szCs w:val="22"/>
          <w:lang w:val="en-US"/>
        </w:rPr>
        <w:instrText xml:space="preserve"> ADDIN ZOTERO_ITEM CSL_CITATION {"citationID":"Ffzi4hUX","properties":{"formattedCitation":"(Hey &amp; Pace, 2014)","plainCitation":"(Hey &amp; Pace, 2014)","noteIndex":0},"citationItems":[{"id":127005,"uris":["http://zotero.org/users/14812719/items/G4HZRCCZ"],"itemData":{"id":127005,"type":"article-journal","abstract":"Representing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Cs w:val="22"/>
          <w:lang w:val="en-US"/>
        </w:rPr>
        <w:fldChar w:fldCharType="separate"/>
      </w:r>
      <w:r w:rsidRPr="00C92552">
        <w:rPr>
          <w:lang w:val="en-GB"/>
        </w:rPr>
        <w:t xml:space="preserve">Hey &amp; Pace </w:t>
      </w:r>
      <w:r>
        <w:rPr>
          <w:lang w:val="en-GB"/>
        </w:rPr>
        <w:t>(</w:t>
      </w:r>
      <w:r w:rsidRPr="00C92552">
        <w:rPr>
          <w:lang w:val="en-GB"/>
        </w:rPr>
        <w:t>2014)</w:t>
      </w:r>
      <w:r>
        <w:rPr>
          <w:szCs w:val="22"/>
          <w:lang w:val="en-US"/>
        </w:rPr>
        <w:fldChar w:fldCharType="end"/>
      </w:r>
      <w:r>
        <w:rPr>
          <w:szCs w:val="22"/>
          <w:lang w:val="en-US"/>
        </w:rPr>
        <w:t xml:space="preserve"> conclude that the Vector EU model </w:t>
      </w:r>
      <w:r>
        <w:rPr>
          <w:szCs w:val="22"/>
          <w:lang w:val="en-US"/>
        </w:rPr>
        <w:fldChar w:fldCharType="begin"/>
      </w:r>
      <w:r>
        <w:rPr>
          <w:szCs w:val="22"/>
          <w:lang w:val="en-US"/>
        </w:rPr>
        <w:instrText xml:space="preserve"> ADDIN ZOTERO_ITEM CSL_CITATION {"citationID":"GuZ5Jhhe","properties":{"formattedCitation":"(Siniscalchi, 2009)","plainCitation":"(Siniscalchi, 2009)","noteIndex":0},"citationItems":[{"id":127020,"uris":["http://zotero.org/users/14812719/items/SLVF9TSU"],"itemData":{"id":127020,"type":"article-journal","abstract":"This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Cs w:val="22"/>
          <w:lang w:val="en-US"/>
        </w:rPr>
        <w:fldChar w:fldCharType="separate"/>
      </w:r>
      <w:r w:rsidRPr="00F22C22">
        <w:rPr>
          <w:lang w:val="en-GB"/>
        </w:rPr>
        <w:t>(Siniscalchi, 2009)</w:t>
      </w:r>
      <w:r>
        <w:rPr>
          <w:szCs w:val="22"/>
          <w:lang w:val="en-US"/>
        </w:rPr>
        <w:fldChar w:fldCharType="end"/>
      </w:r>
      <w:r>
        <w:rPr>
          <w:szCs w:val="22"/>
          <w:lang w:val="en-US"/>
        </w:rPr>
        <w:t xml:space="preserve"> and the Alpha EU model </w:t>
      </w:r>
      <w:r>
        <w:rPr>
          <w:szCs w:val="22"/>
          <w:lang w:val="en-US"/>
        </w:rPr>
        <w:fldChar w:fldCharType="begin"/>
      </w:r>
      <w:r>
        <w:rPr>
          <w:szCs w:val="22"/>
          <w:lang w:val="en-US"/>
        </w:rPr>
        <w:instrText xml:space="preserve"> ADDIN ZOTERO_ITEM CSL_CITATION {"citationID":"awxTQDGj","properties":{"formattedCitation":"(Ghirardato et al., 2004)","plainCitation":"(Ghirardato et al., 2004)","noteIndex":0},"citationItems":[{"id":126889,"uris":["http://zotero.org/groups/5657987/items/E59GRE8H"],"itemData":{"id":126889,"type":"article-journal","container-title":"Journal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Cs w:val="22"/>
          <w:lang w:val="en-US"/>
        </w:rPr>
        <w:fldChar w:fldCharType="separate"/>
      </w:r>
      <w:r w:rsidRPr="00F22C22">
        <w:rPr>
          <w:lang w:val="en-GB"/>
        </w:rPr>
        <w:t>(Ghirardato et al., 2004)</w:t>
      </w:r>
      <w:r>
        <w:rPr>
          <w:szCs w:val="22"/>
          <w:lang w:val="en-US"/>
        </w:rPr>
        <w:fldChar w:fldCharType="end"/>
      </w:r>
      <w:r>
        <w:rPr>
          <w:szCs w:val="22"/>
          <w:lang w:val="en-US"/>
        </w:rPr>
        <w:t xml:space="preserve"> perform better than the Subjective EU model </w:t>
      </w:r>
      <w:r>
        <w:rPr>
          <w:szCs w:val="22"/>
          <w:lang w:val="en-US"/>
        </w:rPr>
        <w:fldChar w:fldCharType="begin"/>
      </w:r>
      <w:r>
        <w:rPr>
          <w:szCs w:val="22"/>
          <w:lang w:val="en-US"/>
        </w:rPr>
        <w:instrText xml:space="preserve"> ADDIN ZOTERO_ITEM CSL_CITATION {"citationID":"qw4x2U48","properties":{"formattedCitation":"(Savage, 1954)","plainCitation":"(Savage, 1954)","noteIndex":0},"citationItems":[{"id":126885,"uris":["http://zotero.org/groups/5657987/items/VBJB9EDZ"],"itemData":{"id":126885,"type":"book","event-place":"New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Cs w:val="22"/>
          <w:lang w:val="en-US"/>
        </w:rPr>
        <w:fldChar w:fldCharType="separate"/>
      </w:r>
      <w:r w:rsidRPr="00DE0FB5">
        <w:rPr>
          <w:lang w:val="en-GB"/>
        </w:rPr>
        <w:t>(Savage, 1954)</w:t>
      </w:r>
      <w:r>
        <w:rPr>
          <w:szCs w:val="22"/>
          <w:lang w:val="en-US"/>
        </w:rPr>
        <w:fldChar w:fldCharType="end"/>
      </w:r>
      <w:r>
        <w:rPr>
          <w:szCs w:val="22"/>
          <w:lang w:val="en-US"/>
        </w:rPr>
        <w:t xml:space="preserve"> in explaining behaviour, but they perform similarly when it comes to </w:t>
      </w:r>
      <w:r w:rsidRPr="00C92552">
        <w:rPr>
          <w:szCs w:val="22"/>
          <w:lang w:val="en-US"/>
        </w:rPr>
        <w:t>prediction</w:t>
      </w:r>
      <w:r>
        <w:rPr>
          <w:szCs w:val="22"/>
          <w:lang w:val="en-US"/>
        </w:rPr>
        <w:t>.</w:t>
      </w:r>
    </w:p>
    <w:p w14:paraId="0854FAB9" w14:textId="77777777" w:rsidR="00DC7523" w:rsidRDefault="00DC7523" w:rsidP="007B5DC5">
      <w:pPr>
        <w:rPr>
          <w:szCs w:val="22"/>
          <w:lang w:val="en-US"/>
        </w:rPr>
      </w:pPr>
    </w:p>
    <w:p w14:paraId="5A4DAE5A" w14:textId="727011FC" w:rsidR="00DA1D81" w:rsidRDefault="00DA1D81" w:rsidP="007B5DC5">
      <w:pPr>
        <w:rPr>
          <w:szCs w:val="22"/>
          <w:lang w:val="en-US"/>
        </w:rPr>
      </w:pPr>
      <w:r w:rsidRPr="00DA1D81">
        <w:rPr>
          <w:szCs w:val="22"/>
          <w:lang w:val="en-US"/>
        </w:rPr>
        <w:t>The second-order models assessed in Conte &amp; Hey (2013) include: EUT with compounded probabilities; the Smooth Ambiguity Model of Klibanoff et al. (2005); the Rank Dependent EU model of Quiggin (1982); and the Alpha EU model of Ghirardato et al. (2004). The non second-order models assessed in (Hey &amp; Pace, 2014) include: the Subjective EU model (Savage, 1954); the Choquet EU by (Schmeidler, 1989); the Alpha EU model of Ghirardato et al. (2004); the Vector EU model by (Siniscalchi, 2009); and the Contraction Model of (Gajdos et al., 2008). Among the SOMs, the Smooth Ambiguity Model (Klibanoff et al., 2005) performs best at predicting decision-makers behaviour (Conte &amp; Hey, 2013).</w:t>
      </w:r>
    </w:p>
    <w:p w14:paraId="6E299E1B" w14:textId="77777777" w:rsidR="00DA1D81" w:rsidRDefault="00DA1D81" w:rsidP="007B5DC5">
      <w:pPr>
        <w:rPr>
          <w:szCs w:val="22"/>
          <w:lang w:val="en-US"/>
        </w:rPr>
      </w:pPr>
    </w:p>
    <w:p w14:paraId="59E9B35B" w14:textId="77777777" w:rsidR="00AC47AE" w:rsidRDefault="00AC47AE" w:rsidP="007B5DC5">
      <w:pPr>
        <w:rPr>
          <w:szCs w:val="22"/>
          <w:lang w:val="en-US"/>
        </w:rPr>
      </w:pPr>
    </w:p>
    <w:p w14:paraId="19420A0D" w14:textId="77777777" w:rsidR="00203817" w:rsidRDefault="00203817" w:rsidP="007B5DC5">
      <w:pPr>
        <w:rPr>
          <w:szCs w:val="22"/>
          <w:lang w:val="en-US"/>
        </w:rPr>
      </w:pPr>
    </w:p>
    <w:p w14:paraId="1E074FBF" w14:textId="77777777" w:rsidR="00AC47AE" w:rsidRDefault="00AC47AE" w:rsidP="00AC47AE">
      <w:pPr>
        <w:spacing w:line="360" w:lineRule="auto"/>
        <w:jc w:val="both"/>
        <w:rPr>
          <w:szCs w:val="22"/>
          <w:lang w:val="en-US"/>
        </w:rPr>
      </w:pPr>
      <w:r>
        <w:rPr>
          <w:szCs w:val="22"/>
          <w:lang w:val="en-US"/>
        </w:rPr>
        <w:t xml:space="preserve">Considering an ambiguous context in which the farmer only knows that the probability of a loss </w:t>
      </w:r>
      <m:oMath>
        <m:r>
          <w:rPr>
            <w:rFonts w:ascii="Cambria Math" w:hAnsi="Cambria Math"/>
            <w:szCs w:val="22"/>
            <w:lang w:val="en-US"/>
          </w:rPr>
          <m:t>(p)</m:t>
        </m:r>
      </m:oMath>
      <w:r>
        <w:rPr>
          <w:szCs w:val="22"/>
          <w:lang w:val="en-US"/>
        </w:rPr>
        <w:t xml:space="preserve"> lies in a certain interval </w:t>
      </w:r>
      <m:oMath>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Pr>
          <w:szCs w:val="22"/>
          <w:lang w:val="en-US"/>
        </w:rPr>
        <w:t xml:space="preserve">, risk and ambiguity preferences are represented with the </w:t>
      </w:r>
      <m:oMath>
        <m:r>
          <m:rPr>
            <m:sty m:val="p"/>
          </m:rPr>
          <w:rPr>
            <w:rFonts w:ascii="Cambria Math" w:hAnsi="Cambria Math"/>
            <w:szCs w:val="22"/>
            <w:lang w:val="en-US"/>
          </w:rPr>
          <m:t>α</m:t>
        </m:r>
      </m:oMath>
      <w:r>
        <w:rPr>
          <w:szCs w:val="22"/>
          <w:lang w:val="en-US"/>
        </w:rPr>
        <w:t>EU model as:</w:t>
      </w:r>
    </w:p>
    <w:p w14:paraId="198B06B0" w14:textId="77777777" w:rsidR="00AC47AE" w:rsidRPr="005A3BDF" w:rsidRDefault="00000000" w:rsidP="00AC47AE">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m:rPr>
                  <m:sty m:val="p"/>
                </m:rPr>
                <w:rPr>
                  <w:rFonts w:ascii="Cambria Math" w:hAnsi="Cambria Math"/>
                  <w:szCs w:val="22"/>
                  <w:lang w:val="en-US"/>
                </w:rPr>
                <m:t xml:space="preserve"> </m:t>
              </m:r>
              <m:r>
                <w:rPr>
                  <w:rFonts w:ascii="Cambria Math" w:hAnsi="Cambria Math"/>
                  <w:szCs w:val="22"/>
                  <w:lang w:val="en-US"/>
                </w:rPr>
                <m:t>EU</m:t>
              </m:r>
              <m:func>
                <m:funcPr>
                  <m:ctrlPr>
                    <w:rPr>
                      <w:rFonts w:ascii="Cambria Math" w:hAnsi="Cambria Math"/>
                      <w:i/>
                      <w:iCs/>
                    </w:rPr>
                  </m:ctrlPr>
                </m:funcPr>
                <m:fName>
                  <m:r>
                    <w:rPr>
                      <w:rFonts w:ascii="Cambria Math" w:hAnsi="Cambria Math"/>
                      <w:lang w:val="en-GB"/>
                    </w:rPr>
                    <m:t>=</m:t>
                  </m:r>
                </m:fName>
                <m:e>
                  <m:r>
                    <m:rPr>
                      <m:sty m:val="p"/>
                    </m:rPr>
                    <w:rPr>
                      <w:rFonts w:ascii="Cambria Math" w:hAnsi="Cambria Math"/>
                      <w:szCs w:val="22"/>
                      <w:lang w:val="en-US"/>
                    </w:rPr>
                    <m:t>α</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max</m:t>
                          </m:r>
                        </m:sub>
                      </m:sSub>
                    </m:sub>
                  </m:sSub>
                  <m:r>
                    <w:rPr>
                      <w:rFonts w:ascii="Cambria Math" w:hAnsi="Cambria Math"/>
                    </w:rPr>
                    <m:t>U</m:t>
                  </m:r>
                  <m:d>
                    <m:dPr>
                      <m:ctrlPr>
                        <w:rPr>
                          <w:rFonts w:ascii="Cambria Math" w:hAnsi="Cambria Math"/>
                          <w:i/>
                          <w:iCs/>
                        </w:rPr>
                      </m:ctrlPr>
                    </m:dPr>
                    <m:e>
                      <m:r>
                        <w:rPr>
                          <w:rFonts w:ascii="Cambria Math" w:hAnsi="Cambria Math"/>
                        </w:rPr>
                        <m:t>x</m:t>
                      </m:r>
                    </m:e>
                  </m:d>
                  <m:r>
                    <w:rPr>
                      <w:rFonts w:ascii="Cambria Math" w:hAnsi="Cambria Math"/>
                      <w:lang w:val="en-GB"/>
                    </w:rPr>
                    <m:t>+</m:t>
                  </m:r>
                  <m:d>
                    <m:dPr>
                      <m:ctrlPr>
                        <w:rPr>
                          <w:rFonts w:ascii="Cambria Math" w:hAnsi="Cambria Math"/>
                          <w:i/>
                        </w:rPr>
                      </m:ctrlPr>
                    </m:dPr>
                    <m:e>
                      <m:r>
                        <w:rPr>
                          <w:rFonts w:ascii="Cambria Math" w:hAnsi="Cambria Math"/>
                          <w:lang w:val="en-GB"/>
                        </w:rPr>
                        <m:t>1-</m:t>
                      </m:r>
                      <m:r>
                        <m:rPr>
                          <m:sty m:val="p"/>
                        </m:rPr>
                        <w:rPr>
                          <w:rFonts w:ascii="Cambria Math" w:hAnsi="Cambria Math"/>
                          <w:szCs w:val="22"/>
                          <w:lang w:val="en-US"/>
                        </w:rPr>
                        <m:t>α</m:t>
                      </m:r>
                      <m:ctrlPr>
                        <w:rPr>
                          <w:rFonts w:ascii="Cambria Math" w:hAnsi="Cambria Math"/>
                          <w:szCs w:val="22"/>
                          <w:lang w:val="en-US"/>
                        </w:rPr>
                      </m:ctrlPr>
                    </m:e>
                  </m:d>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p</m:t>
                          </m:r>
                        </m:e>
                        <m:sub>
                          <m:r>
                            <w:rPr>
                              <w:rFonts w:ascii="Cambria Math" w:hAnsi="Cambria Math"/>
                            </w:rPr>
                            <m:t>min</m:t>
                          </m:r>
                        </m:sub>
                      </m:sSub>
                    </m:sub>
                  </m:sSub>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szCs w:val="22"/>
                  <w:lang w:val="en-US"/>
                </w:rPr>
                <m:t>#</m:t>
              </m:r>
              <m:d>
                <m:dPr>
                  <m:ctrlPr>
                    <w:rPr>
                      <w:rFonts w:ascii="Cambria Math" w:hAnsi="Cambria Math"/>
                      <w:i/>
                      <w:iCs/>
                    </w:rPr>
                  </m:ctrlPr>
                </m:dPr>
                <m:e>
                  <m:r>
                    <w:rPr>
                      <w:rFonts w:ascii="Cambria Math" w:hAnsi="Cambria Math"/>
                      <w:lang w:val="en-GB"/>
                    </w:rPr>
                    <m:t>12</m:t>
                  </m:r>
                </m:e>
              </m:d>
              <m:ctrlPr>
                <w:rPr>
                  <w:rFonts w:ascii="Cambria Math" w:hAnsi="Cambria Math"/>
                  <w:i/>
                  <w:szCs w:val="22"/>
                  <w:lang w:val="en-US"/>
                </w:rPr>
              </m:ctrlPr>
            </m:e>
          </m:eqArr>
        </m:oMath>
      </m:oMathPara>
    </w:p>
    <w:p w14:paraId="058C5F8A" w14:textId="77777777" w:rsidR="00AC47AE" w:rsidRDefault="00AC47AE" w:rsidP="00AC47AE">
      <w:pPr>
        <w:spacing w:line="360" w:lineRule="auto"/>
        <w:jc w:val="both"/>
        <w:rPr>
          <w:szCs w:val="22"/>
          <w:lang w:val="en-US"/>
        </w:rPr>
      </w:pPr>
      <w:r>
        <w:rPr>
          <w:szCs w:val="22"/>
          <w:lang w:val="en-US"/>
        </w:rPr>
        <w:t xml:space="preserve">Where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Pr>
          <w:szCs w:val="22"/>
          <w:lang w:val="en-US"/>
        </w:rPr>
        <w:t xml:space="preserve"> is the decision-maker ambiguity attitude.</w:t>
      </w:r>
    </w:p>
    <w:p w14:paraId="40BF6FEA" w14:textId="77777777" w:rsidR="00814B01" w:rsidRDefault="00814B01" w:rsidP="00AC47AE">
      <w:pPr>
        <w:spacing w:line="360" w:lineRule="auto"/>
        <w:jc w:val="both"/>
        <w:rPr>
          <w:szCs w:val="22"/>
          <w:lang w:val="en-US"/>
        </w:rPr>
      </w:pPr>
    </w:p>
    <w:p w14:paraId="718295ED" w14:textId="5047CFDB" w:rsidR="006379AA" w:rsidRPr="00814B01" w:rsidRDefault="00814B01" w:rsidP="00814B01">
      <w:pPr>
        <w:pStyle w:val="Heading2"/>
        <w:rPr>
          <w:lang w:val="en-US"/>
        </w:rPr>
      </w:pPr>
      <w:r>
        <w:rPr>
          <w:lang w:val="en-US"/>
        </w:rPr>
        <w:t xml:space="preserve">Adjusted </w:t>
      </w:r>
      <w:r w:rsidRPr="003C0C4F">
        <w:rPr>
          <w:lang w:val="en-GB"/>
        </w:rPr>
        <w:t>contract</w:t>
      </w:r>
      <w:r>
        <w:rPr>
          <w:lang w:val="en-US"/>
        </w:rPr>
        <w:t xml:space="preserve"> design</w:t>
      </w:r>
    </w:p>
    <w:p w14:paraId="7A203D1C" w14:textId="77777777" w:rsidR="00F877B1" w:rsidRPr="00F00A72" w:rsidRDefault="00F877B1" w:rsidP="00F877B1">
      <w:pPr>
        <w:spacing w:line="360" w:lineRule="auto"/>
        <w:jc w:val="both"/>
        <w:rPr>
          <w:lang w:val="en-GB"/>
        </w:rPr>
      </w:pPr>
      <w:r>
        <w:rPr>
          <w:lang w:val="en-GB"/>
        </w:rPr>
        <w:t xml:space="preserve">The threshold price affects both the contract cost and risk management effectiveness. We propose a low ceiling threshold, equal to the expected fertilizer price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L</m:t>
            </m:r>
          </m:sub>
        </m:sSub>
        <m:r>
          <w:rPr>
            <w:rFonts w:ascii="Cambria Math" w:hAnsi="Cambria Math" w:cs="Calibri"/>
            <w:lang w:val="en-GB"/>
          </w:rPr>
          <m:t>=E(p)</m:t>
        </m:r>
      </m:oMath>
      <w:r>
        <w:rPr>
          <w:lang w:val="en-GB"/>
        </w:rPr>
        <w:t>, and a high ceiling threshold, equal to the expected fertilizer price p</w:t>
      </w:r>
      <w:r w:rsidRPr="00470C69">
        <w:rPr>
          <w:lang w:val="en-GB"/>
        </w:rPr>
        <w:t xml:space="preserve">lus a </w:t>
      </w:r>
      <w:r>
        <w:rPr>
          <w:lang w:val="en-GB"/>
        </w:rPr>
        <w:t xml:space="preserve">market-derived </w:t>
      </w:r>
      <w:r w:rsidRPr="00470C69">
        <w:rPr>
          <w:lang w:val="en-GB"/>
        </w:rPr>
        <w:t>volatility</w:t>
      </w:r>
      <w:r>
        <w:rPr>
          <w:lang w:val="en-GB"/>
        </w:rPr>
        <w:t xml:space="preserve"> </w:t>
      </w:r>
      <w:r w:rsidRPr="00470C69">
        <w:rPr>
          <w:lang w:val="en-GB"/>
        </w:rPr>
        <w:t>margin</w:t>
      </w:r>
      <w:r>
        <w:rPr>
          <w:lang w:val="en-GB"/>
        </w:rPr>
        <w:t xml:space="preserve"> </w:t>
      </w:r>
      <m:oMath>
        <m:sSub>
          <m:sSubPr>
            <m:ctrlPr>
              <w:rPr>
                <w:rFonts w:ascii="Cambria Math" w:hAnsi="Cambria Math" w:cs="Calibri"/>
                <w:i/>
                <w:lang w:val="en-GB"/>
              </w:rPr>
            </m:ctrlPr>
          </m:sSubPr>
          <m:e>
            <m:r>
              <w:rPr>
                <w:rFonts w:ascii="Cambria Math" w:hAnsi="Cambria Math" w:cs="Calibri"/>
              </w:rPr>
              <m:t>k</m:t>
            </m:r>
            <m:ctrlPr>
              <w:rPr>
                <w:rFonts w:ascii="Cambria Math" w:hAnsi="Cambria Math"/>
                <w:i/>
                <w:lang w:val="en-GB"/>
              </w:rPr>
            </m:ctrlPr>
          </m:e>
          <m:sub>
            <m:r>
              <w:rPr>
                <w:rFonts w:ascii="Cambria Math" w:hAnsi="Cambria Math" w:cs="Calibri"/>
                <w:lang w:val="en-GB"/>
              </w:rPr>
              <m:t>H</m:t>
            </m:r>
          </m:sub>
        </m:sSub>
        <m:r>
          <w:rPr>
            <w:rFonts w:ascii="Cambria Math" w:hAnsi="Cambria Math" w:cs="Calibri"/>
            <w:lang w:val="en-GB"/>
          </w:rPr>
          <m:t>=E</m:t>
        </m:r>
        <m:d>
          <m:dPr>
            <m:ctrlPr>
              <w:rPr>
                <w:rFonts w:ascii="Cambria Math" w:hAnsi="Cambria Math" w:cs="Calibri"/>
                <w:i/>
                <w:lang w:val="en-GB"/>
              </w:rPr>
            </m:ctrlPr>
          </m:dPr>
          <m:e>
            <m:r>
              <w:rPr>
                <w:rFonts w:ascii="Cambria Math" w:hAnsi="Cambria Math" w:cs="Calibri"/>
                <w:lang w:val="en-GB"/>
              </w:rPr>
              <m:t>p</m:t>
            </m:r>
          </m:e>
        </m:d>
        <m:r>
          <w:rPr>
            <w:rFonts w:ascii="Cambria Math" w:hAnsi="Cambria Math" w:cs="Calibri"/>
            <w:lang w:val="en-GB"/>
          </w:rPr>
          <m:t>+</m:t>
        </m:r>
        <m:r>
          <m:rPr>
            <m:sty m:val="p"/>
          </m:rPr>
          <w:rPr>
            <w:rFonts w:ascii="Cambria Math" w:hAnsi="Cambria Math" w:cs="Calibri"/>
            <w:lang w:val="en-GB"/>
          </w:rPr>
          <m:t>ω</m:t>
        </m:r>
      </m:oMath>
      <w:r>
        <w:rPr>
          <w:lang w:val="en-GB"/>
        </w:rPr>
        <w:t>. The low ceiling contract offers better risk protection but comes with a higher premium, while the high ceiling contract provides less risk mitigation but lower cost.</w:t>
      </w:r>
    </w:p>
    <w:p w14:paraId="5B0F6F21" w14:textId="77777777" w:rsidR="00F877B1" w:rsidRPr="00F877B1" w:rsidRDefault="00F877B1" w:rsidP="00AC47AE">
      <w:pPr>
        <w:spacing w:line="360" w:lineRule="auto"/>
        <w:jc w:val="both"/>
        <w:rPr>
          <w:szCs w:val="22"/>
          <w:lang w:val="en-GB"/>
        </w:rPr>
      </w:pPr>
    </w:p>
    <w:p w14:paraId="4D71332C" w14:textId="77777777" w:rsidR="00F877B1" w:rsidRDefault="00F877B1" w:rsidP="00AC47AE">
      <w:pPr>
        <w:spacing w:line="360" w:lineRule="auto"/>
        <w:jc w:val="both"/>
        <w:rPr>
          <w:szCs w:val="22"/>
          <w:lang w:val="en-US"/>
        </w:rPr>
      </w:pPr>
    </w:p>
    <w:p w14:paraId="4475E6B3" w14:textId="77777777" w:rsidR="00F877B1" w:rsidRDefault="00F877B1" w:rsidP="00AC47AE">
      <w:pPr>
        <w:spacing w:line="360" w:lineRule="auto"/>
        <w:jc w:val="both"/>
        <w:rPr>
          <w:szCs w:val="22"/>
          <w:lang w:val="en-US"/>
        </w:rPr>
      </w:pPr>
    </w:p>
    <w:p w14:paraId="79D5441A" w14:textId="77777777" w:rsidR="006379AA" w:rsidRDefault="006379AA" w:rsidP="006379AA">
      <w:pPr>
        <w:pStyle w:val="Heading2"/>
        <w:rPr>
          <w:lang w:val="en-US"/>
        </w:rPr>
      </w:pPr>
      <w:r>
        <w:rPr>
          <w:lang w:val="en-US"/>
        </w:rPr>
        <w:t>Adjusted c</w:t>
      </w:r>
      <w:r w:rsidRPr="00FF28A2">
        <w:rPr>
          <w:lang w:val="en-US"/>
        </w:rPr>
        <w:t>ontract pricing</w:t>
      </w:r>
      <w:r>
        <w:rPr>
          <w:lang w:val="en-US"/>
        </w:rPr>
        <w:t xml:space="preserve"> </w:t>
      </w:r>
    </w:p>
    <w:p w14:paraId="05A29980" w14:textId="77777777" w:rsidR="006379AA" w:rsidRDefault="006379AA" w:rsidP="006379AA">
      <w:pPr>
        <w:spacing w:line="360" w:lineRule="auto"/>
        <w:jc w:val="both"/>
        <w:rPr>
          <w:lang w:val="en-US"/>
        </w:rPr>
      </w:pPr>
      <w:r>
        <w:rPr>
          <w:lang w:val="en-US"/>
        </w:rPr>
        <w:t xml:space="preserve">We model the adjusted contract as an European call option. This allows us to employ an option pricing methodology to derive the contract cost. Since the classical Black-Scholes model does not represent fertilizers market behavior very well (e.g. the volatility clustering and skewness of price movements) we use the </w:t>
      </w:r>
      <w:commentRangeStart w:id="4"/>
      <w:r>
        <w:rPr>
          <w:lang w:val="en-US"/>
        </w:rPr>
        <w:t xml:space="preserve">Heston model </w:t>
      </w:r>
      <w:commentRangeEnd w:id="4"/>
      <w:r>
        <w:rPr>
          <w:rStyle w:val="CommentReference"/>
        </w:rPr>
        <w:commentReference w:id="4"/>
      </w:r>
      <w:r>
        <w:rPr>
          <w:lang w:val="en-US"/>
        </w:rPr>
        <w:fldChar w:fldCharType="begin"/>
      </w:r>
      <w:r>
        <w:rPr>
          <w:lang w:val="en-US"/>
        </w:rPr>
        <w:instrText xml:space="preserve"> ADDIN ZOTERO_ITEM CSL_CITATION {"citationID":"bHpu7kQW","properties":{"formattedCitation":"(Heston, 1993)","plainCitation":"(Heston, 1993)","noteIndex":0},"citationItems":[{"id":127085,"uris":["http://zotero.org/users/14812719/items/XLV7FKNG"],"itemData":{"id":127085,"type":"article-journal","abstract":"I use a new technique to derive a closed-form solution for the price of a European call option on an asset with stochastic volatility. The model allows arbitrary correlation between volatility and spot-asset returns. I introduce stochastic interest rates and show how to apply the model to bond options and foreign currency options. Simulations show that correlation between volatility and the spot asset's price is important for explaining return skewness and strike-price biases in the Black-Scholes (1973) model. The solution technique is based on characteristic functions and can be applied to other problems","container-title":"The Review of Financial Studies","DOI":"10.1093/rfs/6.2.327","ISSN":"0893-9454","issue":"2","journalAbbreviation":"Rev Financ Stud","page":"327-343","source":"Silverchair","title":"A Closed-Form Solution for Options with Stochastic Volatility with Applications to Bond and Currency Options","volume":"6","author":[{"family":"Heston","given":"Steven L."}],"issued":{"date-parts":[["1993",4,1]]}}}],"schema":"https://github.com/citation-style-language/schema/raw/master/csl-citation.json"} </w:instrText>
      </w:r>
      <w:r>
        <w:rPr>
          <w:lang w:val="en-US"/>
        </w:rPr>
        <w:fldChar w:fldCharType="separate"/>
      </w:r>
      <w:r w:rsidRPr="006A6CB1">
        <w:rPr>
          <w:lang w:val="en-GB"/>
        </w:rPr>
        <w:t>(Heston, 1993)</w:t>
      </w:r>
      <w:r>
        <w:rPr>
          <w:lang w:val="en-US"/>
        </w:rPr>
        <w:fldChar w:fldCharType="end"/>
      </w:r>
      <w:r>
        <w:rPr>
          <w:lang w:val="en-US"/>
        </w:rPr>
        <w:t xml:space="preserve"> that overcomes this issue. The Heston stochastic volatility model assumes that both the price and the variance of the commodity follow a stochastic process as in Eq. (22a-b), and that the underlying Brownian motions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oMath>
      <w:r>
        <w:rPr>
          <w:lang w:val="en-US"/>
        </w:rPr>
        <w:t xml:space="preserve"> have a correlation of </w:t>
      </w:r>
      <m:oMath>
        <m:r>
          <w:rPr>
            <w:rFonts w:ascii="Cambria Math" w:hAnsi="Cambria Math"/>
            <w:lang w:val="en-US"/>
          </w:rPr>
          <m:t>ρ</m:t>
        </m:r>
      </m:oMath>
      <w:r>
        <w:rPr>
          <w:lang w:val="en-US"/>
        </w:rPr>
        <w:t xml:space="preserve">:  </w:t>
      </w:r>
    </w:p>
    <w:p w14:paraId="49E7874F" w14:textId="77777777" w:rsidR="006379AA" w:rsidRDefault="00000000"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=b</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dt+</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e>
              </m:rad>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22a</m:t>
                  </m:r>
                </m:e>
              </m:d>
            </m:e>
          </m:eqArr>
        </m:oMath>
      </m:oMathPara>
    </w:p>
    <w:p w14:paraId="523ECA4C" w14:textId="77777777" w:rsidR="006379AA" w:rsidRPr="0074276A" w:rsidRDefault="00000000"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=κ</m:t>
              </m:r>
              <m:r>
                <m:rPr>
                  <m:sty m:val="p"/>
                </m:rPr>
                <w:rPr>
                  <w:rFonts w:ascii="Cambria Math" w:hAnsi="Cambria Math"/>
                  <w:lang w:val="en-US"/>
                </w:rPr>
                <m:t>(</m:t>
              </m:r>
              <m:r>
                <w:rPr>
                  <w:rFonts w:ascii="Cambria Math" w:hAnsi="Cambria Math"/>
                  <w:lang w:val="en-US"/>
                </w:rPr>
                <m:t>θ-</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r>
                <w:rPr>
                  <w:rFonts w:ascii="Cambria Math" w:hAnsi="Cambria Math"/>
                  <w:lang w:val="en-US"/>
                </w:rPr>
                <m:t>)dt+σ</m:t>
              </m:r>
              <m:rad>
                <m:radPr>
                  <m:degHide m:val="1"/>
                  <m:ctrlPr>
                    <w:rPr>
                      <w:rFonts w:ascii="Cambria Math" w:hAnsi="Cambria Math"/>
                      <w:lang w:val="en-US"/>
                    </w:rPr>
                  </m:ctrlPr>
                </m:radPr>
                <m:deg>
                  <m:ctrlPr>
                    <w:rPr>
                      <w:rFonts w:ascii="Cambria Math" w:hAnsi="Cambria Math"/>
                      <w:i/>
                      <w:lang w:val="en-US"/>
                    </w:rPr>
                  </m:ctrlPr>
                </m:deg>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t</m:t>
                      </m:r>
                    </m:sub>
                  </m:sSub>
                </m:e>
              </m:rad>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22b</m:t>
                  </m:r>
                </m:e>
              </m:d>
            </m:e>
          </m:eqArr>
        </m:oMath>
      </m:oMathPara>
    </w:p>
    <w:p w14:paraId="4DE3B554" w14:textId="77777777" w:rsidR="006379AA" w:rsidRPr="00DC1E1A" w:rsidRDefault="00000000" w:rsidP="006379AA">
      <w:pPr>
        <w:spacing w:line="360" w:lineRule="auto"/>
        <w:jc w:val="both"/>
        <w:rPr>
          <w:lang w:val="en-US"/>
        </w:rPr>
      </w:pPr>
      <m:oMathPara>
        <m:oMath>
          <m:eqArr>
            <m:eqArrPr>
              <m:maxDist m:val="1"/>
              <m:ctrlPr>
                <w:rPr>
                  <w:rFonts w:ascii="Cambria Math" w:hAnsi="Cambria Math"/>
                  <w:i/>
                  <w:lang w:val="en-US"/>
                </w:rPr>
              </m:ctrlPr>
            </m:eqArrPr>
            <m:e>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s</m:t>
                  </m:r>
                </m:sup>
              </m:sSubSup>
              <m:r>
                <w:rPr>
                  <w:rFonts w:ascii="Cambria Math" w:hAnsi="Cambria Math"/>
                  <w:lang w:val="en-US"/>
                </w:rPr>
                <m:t>d</m:t>
              </m:r>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t</m:t>
                  </m:r>
                </m:sub>
                <m:sup>
                  <m:r>
                    <w:rPr>
                      <w:rFonts w:ascii="Cambria Math" w:hAnsi="Cambria Math"/>
                      <w:lang w:val="en-US"/>
                    </w:rPr>
                    <m:t>v</m:t>
                  </m:r>
                </m:sup>
              </m:sSubSup>
              <m:r>
                <w:rPr>
                  <w:rFonts w:ascii="Cambria Math" w:hAnsi="Cambria Math"/>
                  <w:lang w:val="en-US"/>
                </w:rPr>
                <m:t>=ρdt#</m:t>
              </m:r>
              <m:d>
                <m:dPr>
                  <m:ctrlPr>
                    <w:rPr>
                      <w:rFonts w:ascii="Cambria Math" w:hAnsi="Cambria Math"/>
                      <w:i/>
                      <w:lang w:val="en-US"/>
                    </w:rPr>
                  </m:ctrlPr>
                </m:dPr>
                <m:e>
                  <m:r>
                    <w:rPr>
                      <w:rFonts w:ascii="Cambria Math" w:hAnsi="Cambria Math"/>
                      <w:lang w:val="en-US"/>
                    </w:rPr>
                    <m:t>22</m:t>
                  </m:r>
                  <m:r>
                    <m:rPr>
                      <m:sty m:val="p"/>
                    </m:rPr>
                    <w:rPr>
                      <w:rFonts w:ascii="Cambria Math" w:hAnsi="Cambria Math"/>
                      <w:lang w:val="en-US"/>
                    </w:rPr>
                    <m:t>c</m:t>
                  </m:r>
                </m:e>
              </m:d>
            </m:e>
          </m:eqArr>
        </m:oMath>
      </m:oMathPara>
    </w:p>
    <w:p w14:paraId="33B02AB0" w14:textId="77777777" w:rsidR="006379AA" w:rsidRDefault="006379AA" w:rsidP="006379AA">
      <w:pPr>
        <w:spacing w:line="360" w:lineRule="auto"/>
        <w:jc w:val="both"/>
        <w:rPr>
          <w:lang w:val="en-US"/>
        </w:rPr>
      </w:pPr>
      <w:r>
        <w:rPr>
          <w:lang w:val="en-US"/>
        </w:rPr>
        <w:t xml:space="preserve">where </w:t>
      </w:r>
      <m:oMath>
        <m:r>
          <w:rPr>
            <w:rFonts w:ascii="Cambria Math" w:hAnsi="Cambria Math"/>
            <w:lang w:val="en-US"/>
          </w:rPr>
          <m:t>b</m:t>
        </m:r>
      </m:oMath>
      <w:r>
        <w:rPr>
          <w:lang w:val="en-US"/>
        </w:rPr>
        <w:t xml:space="preserve"> denotes the price drift; </w:t>
      </w:r>
      <m:oMath>
        <m:r>
          <w:rPr>
            <w:rFonts w:ascii="Cambria Math" w:hAnsi="Cambria Math"/>
            <w:lang w:val="en-US"/>
          </w:rPr>
          <m:t>κ</m:t>
        </m:r>
      </m:oMath>
      <w:r>
        <w:rPr>
          <w:lang w:val="en-US"/>
        </w:rPr>
        <w:t xml:space="preserve"> the speed of mean reversion to the mean level </w:t>
      </w:r>
      <m:oMath>
        <m:r>
          <w:rPr>
            <w:rFonts w:ascii="Cambria Math" w:hAnsi="Cambria Math"/>
            <w:lang w:val="en-US"/>
          </w:rPr>
          <m:t>θ</m:t>
        </m:r>
      </m:oMath>
      <w:r>
        <w:rPr>
          <w:lang w:val="en-US"/>
        </w:rPr>
        <w:t xml:space="preserve">; and </w:t>
      </w:r>
      <m:oMath>
        <m:r>
          <w:rPr>
            <w:rFonts w:ascii="Cambria Math" w:hAnsi="Cambria Math"/>
            <w:lang w:val="en-US"/>
          </w:rPr>
          <m:t>σ</m:t>
        </m:r>
      </m:oMath>
      <w:r>
        <w:rPr>
          <w:lang w:val="en-US"/>
        </w:rPr>
        <w:t xml:space="preserve"> the volatility of the variance. Based on these assumptions, it is possible to derive a closed price formula for the European call option: </w:t>
      </w:r>
    </w:p>
    <w:p w14:paraId="08626D3F" w14:textId="77777777" w:rsidR="006379AA" w:rsidRPr="00C952E5" w:rsidRDefault="00000000" w:rsidP="006379AA">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sSub>
                <m:sSubPr>
                  <m:ctrlPr>
                    <w:rPr>
                      <w:rFonts w:ascii="Cambria Math" w:hAnsi="Cambria Math" w:cs="Calibri"/>
                      <w:lang w:val="en-GB"/>
                    </w:rPr>
                  </m:ctrlPr>
                </m:sSub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cs="Calibri"/>
                      <w:lang w:val="en-GB"/>
                    </w:rPr>
                    <m:t>P</m:t>
                  </m:r>
                </m:e>
                <m:sub>
                  <m:r>
                    <m:rPr>
                      <m:sty m:val="p"/>
                    </m:rPr>
                    <w:rPr>
                      <w:rFonts w:ascii="Cambria Math" w:hAnsi="Cambria Math" w:cs="Calibri"/>
                      <w:lang w:val="en-GB"/>
                    </w:rPr>
                    <m:t>1</m:t>
                  </m:r>
                </m:sub>
              </m:sSub>
              <m:r>
                <m:rPr>
                  <m:sty m:val="p"/>
                </m:rPr>
                <w:rPr>
                  <w:rFonts w:ascii="Cambria Math" w:hAnsi="Cambria Math" w:cs="Calibri"/>
                  <w:lang w:val="en-GB"/>
                </w:rPr>
                <m:t>-k</m:t>
              </m:r>
              <m:sSup>
                <m:sSupPr>
                  <m:ctrlPr>
                    <w:rPr>
                      <w:rFonts w:ascii="Cambria Math" w:hAnsi="Cambria Math" w:cs="Calibri"/>
                      <w:lang w:val="en-GB"/>
                    </w:rPr>
                  </m:ctrlPr>
                </m:sSupPr>
                <m:e>
                  <m:r>
                    <w:rPr>
                      <w:rFonts w:ascii="Cambria Math" w:hAnsi="Cambria Math" w:cs="Calibri"/>
                      <w:lang w:val="en-GB"/>
                    </w:rPr>
                    <m:t>e</m:t>
                  </m:r>
                </m:e>
                <m:sup>
                  <m:r>
                    <m:rPr>
                      <m:sty m:val="p"/>
                    </m:rPr>
                    <w:rPr>
                      <w:rFonts w:ascii="Cambria Math" w:hAnsi="Cambria Math" w:cs="Calibri"/>
                      <w:lang w:val="en-GB"/>
                    </w:rPr>
                    <m:t>-</m:t>
                  </m:r>
                  <m:r>
                    <w:rPr>
                      <w:rFonts w:ascii="Cambria Math" w:hAnsi="Cambria Math" w:cs="Calibri"/>
                      <w:lang w:val="en-GB"/>
                    </w:rPr>
                    <m:t>r</m:t>
                  </m:r>
                  <m:d>
                    <m:dPr>
                      <m:ctrlPr>
                        <w:rPr>
                          <w:rFonts w:ascii="Cambria Math" w:hAnsi="Cambria Math" w:cs="Calibri"/>
                          <w:i/>
                          <w:iCs/>
                          <w:lang w:val="en-GB"/>
                        </w:rPr>
                      </m:ctrlPr>
                    </m:dPr>
                    <m:e>
                      <m:r>
                        <w:rPr>
                          <w:rFonts w:ascii="Cambria Math" w:hAnsi="Cambria Math" w:cs="Calibri"/>
                          <w:lang w:val="en-GB"/>
                        </w:rPr>
                        <m:t>T-t</m:t>
                      </m:r>
                    </m:e>
                  </m:d>
                </m:sup>
              </m:sSup>
              <m:sSub>
                <m:sSubPr>
                  <m:ctrlPr>
                    <w:rPr>
                      <w:rFonts w:ascii="Cambria Math" w:hAnsi="Cambria Math" w:cs="Calibri"/>
                      <w:lang w:val="en-GB"/>
                    </w:rPr>
                  </m:ctrlPr>
                </m:sSubPr>
                <m:e>
                  <m:r>
                    <w:rPr>
                      <w:rFonts w:ascii="Cambria Math" w:hAnsi="Cambria Math" w:cs="Calibri"/>
                      <w:lang w:val="en-GB"/>
                    </w:rPr>
                    <m:t>P</m:t>
                  </m:r>
                </m:e>
                <m:sub>
                  <m:r>
                    <m:rPr>
                      <m:sty m:val="p"/>
                    </m:rPr>
                    <w:rPr>
                      <w:rFonts w:ascii="Cambria Math" w:hAnsi="Cambria Math" w:cs="Calibri"/>
                      <w:lang w:val="en-GB"/>
                    </w:rPr>
                    <m:t>2</m:t>
                  </m:r>
                </m:sub>
              </m:sSub>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4305AC0E" w14:textId="77777777" w:rsidR="006379AA" w:rsidRDefault="006379AA" w:rsidP="006379AA">
      <w:pPr>
        <w:spacing w:line="360" w:lineRule="auto"/>
        <w:jc w:val="both"/>
        <w:rPr>
          <w:lang w:val="en-GB"/>
        </w:rPr>
      </w:pPr>
      <w:r>
        <w:rPr>
          <w:lang w:val="en-GB"/>
        </w:rPr>
        <w:t xml:space="preserve">where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1</m:t>
            </m:r>
          </m:sub>
        </m:sSub>
      </m:oMath>
      <w:r>
        <w:rPr>
          <w:lang w:val="en-GB"/>
        </w:rPr>
        <w:t xml:space="preserve"> and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2</m:t>
            </m:r>
          </m:sub>
        </m:sSub>
      </m:oMath>
      <w:r>
        <w:rPr>
          <w:lang w:val="en-GB"/>
        </w:rPr>
        <w:t xml:space="preserve"> describe the probabilities that the stock finishes above the strike </w:t>
      </w:r>
      <m:oMath>
        <m:r>
          <w:rPr>
            <w:rFonts w:ascii="Cambria Math" w:hAnsi="Cambria Math"/>
            <w:lang w:val="en-GB"/>
          </w:rPr>
          <m:t>(k)</m:t>
        </m:r>
      </m:oMath>
      <w:r>
        <w:rPr>
          <w:lang w:val="en-GB"/>
        </w:rPr>
        <w:t xml:space="preserve">. These probabilities can be retrieved by the inverse Fourier transforms of their characteristic function. </w:t>
      </w:r>
    </w:p>
    <w:p w14:paraId="5DD61AF6" w14:textId="77777777" w:rsidR="006379AA" w:rsidRPr="006379AA" w:rsidRDefault="006379AA" w:rsidP="00AC47AE">
      <w:pPr>
        <w:spacing w:line="360" w:lineRule="auto"/>
        <w:jc w:val="both"/>
        <w:rPr>
          <w:szCs w:val="22"/>
          <w:lang w:val="en-GB"/>
        </w:rPr>
      </w:pPr>
    </w:p>
    <w:p w14:paraId="27F3A28B" w14:textId="23ED1EC3" w:rsidR="00327C48" w:rsidRPr="00D36D4A" w:rsidRDefault="00327C48">
      <w:pPr>
        <w:spacing w:after="160" w:line="259" w:lineRule="auto"/>
        <w:rPr>
          <w:rFonts w:eastAsiaTheme="majorEastAsia" w:cstheme="majorBidi"/>
          <w:sz w:val="32"/>
          <w:szCs w:val="32"/>
          <w:lang w:val="en-GB"/>
        </w:rPr>
      </w:pPr>
    </w:p>
    <w:p w14:paraId="5125C85F" w14:textId="77777777" w:rsidR="00327C48" w:rsidRPr="005E7EDB" w:rsidRDefault="00327C48" w:rsidP="00327C48">
      <w:pPr>
        <w:pStyle w:val="Heading1"/>
        <w:numPr>
          <w:ilvl w:val="0"/>
          <w:numId w:val="0"/>
        </w:numPr>
        <w:spacing w:line="360" w:lineRule="auto"/>
        <w:rPr>
          <w:lang w:val="en-US"/>
        </w:rPr>
      </w:pPr>
      <w:r>
        <w:rPr>
          <w:lang w:val="en-US"/>
        </w:rPr>
        <w:t>Data</w:t>
      </w:r>
    </w:p>
    <w:p w14:paraId="3184C76B" w14:textId="77777777" w:rsidR="00327C48" w:rsidRDefault="00327C48" w:rsidP="00327C48">
      <w:pPr>
        <w:pStyle w:val="ListParagraph"/>
        <w:numPr>
          <w:ilvl w:val="0"/>
          <w:numId w:val="9"/>
        </w:numPr>
        <w:spacing w:after="120" w:line="360" w:lineRule="auto"/>
        <w:rPr>
          <w:lang w:val="en-GB"/>
        </w:rPr>
      </w:pPr>
      <w:r w:rsidRPr="005E7EDB">
        <w:rPr>
          <w:lang w:val="en-GB"/>
        </w:rPr>
        <w:t>World Bank Commodity prices (urea), monthly data (Pink Sheet)</w:t>
      </w:r>
    </w:p>
    <w:p w14:paraId="4DE324B8" w14:textId="77777777" w:rsidR="00327C48" w:rsidRPr="005E7EDB" w:rsidRDefault="00327C48" w:rsidP="00327C48">
      <w:pPr>
        <w:pStyle w:val="ListParagraph"/>
        <w:numPr>
          <w:ilvl w:val="0"/>
          <w:numId w:val="9"/>
        </w:numPr>
        <w:spacing w:after="120" w:line="360" w:lineRule="auto"/>
        <w:rPr>
          <w:lang w:val="en-GB"/>
        </w:rPr>
      </w:pPr>
      <w:r w:rsidRPr="005E7EDB">
        <w:rPr>
          <w:lang w:val="en-US"/>
        </w:rPr>
        <w:t xml:space="preserve">EC [EUROSTAT] </w:t>
      </w:r>
      <w:r w:rsidRPr="000E2577">
        <w:rPr>
          <w:rFonts w:ascii="Wingdings" w:eastAsia="Wingdings" w:hAnsi="Wingdings" w:cs="Wingdings"/>
          <w:lang w:val="en-US"/>
        </w:rPr>
        <w:t>à</w:t>
      </w:r>
      <w:r w:rsidRPr="005E7EDB">
        <w:rPr>
          <w:lang w:val="en-US"/>
        </w:rPr>
        <w:t xml:space="preserve"> </w:t>
      </w:r>
      <w:hyperlink r:id="rId13" w:history="1">
        <w:r w:rsidRPr="005E7EDB">
          <w:rPr>
            <w:rStyle w:val="Hyperlink"/>
            <w:lang w:val="en-US"/>
          </w:rPr>
          <w:t>fertilizer prices</w:t>
        </w:r>
      </w:hyperlink>
      <w:r w:rsidRPr="005E7EDB">
        <w:rPr>
          <w:lang w:val="en-US"/>
        </w:rPr>
        <w:t xml:space="preserve"> (eur/tonne) [Monthly] </w:t>
      </w:r>
    </w:p>
    <w:p w14:paraId="1E04804F" w14:textId="77777777" w:rsidR="00327C48" w:rsidRPr="005B1B70" w:rsidRDefault="00000000" w:rsidP="00327C48">
      <w:pPr>
        <w:spacing w:line="360" w:lineRule="auto"/>
        <w:rPr>
          <w:lang w:val="en-US"/>
        </w:rPr>
      </w:pPr>
      <w:hyperlink r:id="rId14" w:anchor="tab_urea_46" w:history="1">
        <w:r w:rsidR="00327C48" w:rsidRPr="00B523A0">
          <w:rPr>
            <w:rStyle w:val="Hyperlink"/>
            <w:lang w:val="en-US"/>
          </w:rPr>
          <w:t>https://teseo.clal.it/?section=fertilizzanti_torino#tab_urea_46</w:t>
        </w:r>
      </w:hyperlink>
      <w:r w:rsidR="00327C48">
        <w:rPr>
          <w:lang w:val="en-US"/>
        </w:rPr>
        <w:t xml:space="preserve"> </w:t>
      </w:r>
    </w:p>
    <w:p w14:paraId="63A075A8" w14:textId="77777777" w:rsidR="005B1A69" w:rsidRDefault="005B1A69" w:rsidP="005B1A69">
      <w:pPr>
        <w:rPr>
          <w:lang w:val="en-US"/>
        </w:rPr>
      </w:pPr>
    </w:p>
    <w:p w14:paraId="31A62409" w14:textId="77777777" w:rsidR="009114C8" w:rsidRDefault="009114C8" w:rsidP="005B1A69">
      <w:pPr>
        <w:rPr>
          <w:lang w:val="en-US"/>
        </w:rPr>
      </w:pPr>
    </w:p>
    <w:p w14:paraId="6BED6298" w14:textId="77777777" w:rsidR="009114C8" w:rsidRDefault="009114C8" w:rsidP="009114C8">
      <w:pPr>
        <w:pStyle w:val="papertitle"/>
        <w:shd w:val="clear" w:color="auto" w:fill="FFFFFF"/>
        <w:spacing w:before="72" w:beforeAutospacing="0" w:after="48" w:afterAutospacing="0"/>
        <w:ind w:left="24" w:right="24"/>
        <w:rPr>
          <w:rFonts w:ascii="Arial" w:hAnsi="Arial" w:cs="Arial"/>
          <w:b/>
          <w:bCs/>
          <w:color w:val="903000"/>
          <w:sz w:val="18"/>
          <w:szCs w:val="18"/>
        </w:rPr>
      </w:pPr>
      <w:r>
        <w:rPr>
          <w:rFonts w:ascii="Arial" w:hAnsi="Arial" w:cs="Arial"/>
          <w:b/>
          <w:bCs/>
          <w:color w:val="903000"/>
          <w:sz w:val="18"/>
          <w:szCs w:val="18"/>
        </w:rPr>
        <w:t>Behavioral Input Price Risk Management Tools</w:t>
      </w:r>
    </w:p>
    <w:p w14:paraId="0CEC574F" w14:textId="77777777" w:rsidR="009114C8" w:rsidRDefault="009114C8" w:rsidP="009114C8">
      <w:pPr>
        <w:pStyle w:val="papersymposiumauthors"/>
        <w:shd w:val="clear" w:color="auto" w:fill="FFFFFF"/>
        <w:spacing w:before="0" w:beforeAutospacing="0" w:after="24" w:afterAutospacing="0"/>
        <w:ind w:left="24" w:right="24"/>
        <w:rPr>
          <w:rFonts w:ascii="Arial" w:hAnsi="Arial" w:cs="Arial"/>
          <w:color w:val="000000"/>
          <w:sz w:val="16"/>
          <w:szCs w:val="16"/>
        </w:rPr>
      </w:pPr>
      <w:r>
        <w:rPr>
          <w:rStyle w:val="papersymposiumauthor"/>
          <w:rFonts w:ascii="Arial" w:hAnsi="Arial" w:cs="Arial"/>
          <w:b/>
          <w:bCs/>
          <w:color w:val="000000"/>
          <w:sz w:val="16"/>
          <w:szCs w:val="16"/>
          <w:u w:val="single"/>
        </w:rPr>
        <w:t>Riccardo Spada</w:t>
      </w:r>
      <w:r>
        <w:rPr>
          <w:rStyle w:val="papersymposiumauthor"/>
          <w:rFonts w:ascii="Arial" w:hAnsi="Arial" w:cs="Arial"/>
          <w:b/>
          <w:bCs/>
          <w:color w:val="000000"/>
          <w:sz w:val="16"/>
          <w:szCs w:val="16"/>
          <w:vertAlign w:val="superscript"/>
        </w:rPr>
        <w:t>1</w:t>
      </w:r>
      <w:r>
        <w:rPr>
          <w:rStyle w:val="papersymposiumauthor"/>
          <w:rFonts w:ascii="Arial" w:hAnsi="Arial" w:cs="Arial"/>
          <w:b/>
          <w:bCs/>
          <w:color w:val="000000"/>
          <w:sz w:val="16"/>
          <w:szCs w:val="16"/>
        </w:rPr>
        <w:t>, Emilia Mattsson</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Simone Cerroni</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Laura Moritz</w:t>
      </w:r>
      <w:r>
        <w:rPr>
          <w:rStyle w:val="papersymposiumauthor"/>
          <w:rFonts w:ascii="Arial" w:hAnsi="Arial" w:cs="Arial"/>
          <w:b/>
          <w:bCs/>
          <w:color w:val="000000"/>
          <w:sz w:val="16"/>
          <w:szCs w:val="16"/>
          <w:vertAlign w:val="superscript"/>
        </w:rPr>
        <w:t>3</w:t>
      </w:r>
      <w:r>
        <w:rPr>
          <w:rStyle w:val="papersymposiumauthor"/>
          <w:rFonts w:ascii="Arial" w:hAnsi="Arial" w:cs="Arial"/>
          <w:b/>
          <w:bCs/>
          <w:color w:val="000000"/>
          <w:sz w:val="16"/>
          <w:szCs w:val="16"/>
        </w:rPr>
        <w:t>, Jens Rommel</w:t>
      </w:r>
      <w:r>
        <w:rPr>
          <w:rStyle w:val="papersymposiumauthor"/>
          <w:rFonts w:ascii="Arial" w:hAnsi="Arial" w:cs="Arial"/>
          <w:b/>
          <w:bCs/>
          <w:color w:val="000000"/>
          <w:sz w:val="16"/>
          <w:szCs w:val="16"/>
          <w:vertAlign w:val="superscript"/>
        </w:rPr>
        <w:t>2</w:t>
      </w:r>
      <w:r>
        <w:rPr>
          <w:rStyle w:val="papersymposiumauthor"/>
          <w:rFonts w:ascii="Arial" w:hAnsi="Arial" w:cs="Arial"/>
          <w:b/>
          <w:bCs/>
          <w:color w:val="000000"/>
          <w:sz w:val="16"/>
          <w:szCs w:val="16"/>
        </w:rPr>
        <w:t>, Tobias Dalhaus</w:t>
      </w:r>
      <w:r>
        <w:rPr>
          <w:rStyle w:val="papersymposiumauthor"/>
          <w:rFonts w:ascii="Arial" w:hAnsi="Arial" w:cs="Arial"/>
          <w:b/>
          <w:bCs/>
          <w:color w:val="000000"/>
          <w:sz w:val="16"/>
          <w:szCs w:val="16"/>
          <w:vertAlign w:val="superscript"/>
        </w:rPr>
        <w:t>1</w:t>
      </w:r>
      <w:r>
        <w:rPr>
          <w:rFonts w:ascii="Arial" w:hAnsi="Arial" w:cs="Arial"/>
          <w:color w:val="000000"/>
          <w:sz w:val="16"/>
          <w:szCs w:val="16"/>
        </w:rPr>
        <w:br/>
      </w:r>
      <w:r>
        <w:rPr>
          <w:rStyle w:val="papersymposumorganisation"/>
          <w:rFonts w:ascii="Arial" w:hAnsi="Arial" w:cs="Arial"/>
          <w:color w:val="000000"/>
          <w:sz w:val="16"/>
          <w:szCs w:val="16"/>
          <w:vertAlign w:val="superscript"/>
        </w:rPr>
        <w:t>1</w:t>
      </w:r>
      <w:r>
        <w:rPr>
          <w:rStyle w:val="papersymposumorganisation"/>
          <w:rFonts w:ascii="Arial" w:hAnsi="Arial" w:cs="Arial"/>
          <w:color w:val="000000"/>
          <w:sz w:val="16"/>
          <w:szCs w:val="16"/>
        </w:rPr>
        <w:t>Wageningen University and Research, Wageningen, The Netherlands, </w:t>
      </w:r>
      <w:r>
        <w:rPr>
          <w:rStyle w:val="papersymposumorganisation"/>
          <w:rFonts w:ascii="Arial" w:hAnsi="Arial" w:cs="Arial"/>
          <w:color w:val="000000"/>
          <w:sz w:val="16"/>
          <w:szCs w:val="16"/>
          <w:vertAlign w:val="superscript"/>
        </w:rPr>
        <w:t>2</w:t>
      </w:r>
      <w:r>
        <w:rPr>
          <w:rStyle w:val="papersymposumorganisation"/>
          <w:rFonts w:ascii="Arial" w:hAnsi="Arial" w:cs="Arial"/>
          <w:color w:val="000000"/>
          <w:sz w:val="16"/>
          <w:szCs w:val="16"/>
        </w:rPr>
        <w:t>, Swedish University of Agricultural Sciences, Uppsala, Sweden, </w:t>
      </w:r>
      <w:r>
        <w:rPr>
          <w:rStyle w:val="papersymposumorganisation"/>
          <w:rFonts w:ascii="Arial" w:hAnsi="Arial" w:cs="Arial"/>
          <w:color w:val="000000"/>
          <w:sz w:val="16"/>
          <w:szCs w:val="16"/>
          <w:vertAlign w:val="superscript"/>
        </w:rPr>
        <w:t>3</w:t>
      </w:r>
      <w:r>
        <w:rPr>
          <w:rStyle w:val="papersymposumorganisation"/>
          <w:rFonts w:ascii="Arial" w:hAnsi="Arial" w:cs="Arial"/>
          <w:color w:val="000000"/>
          <w:sz w:val="16"/>
          <w:szCs w:val="16"/>
        </w:rPr>
        <w:t>University of Trento, Trento, Italy</w:t>
      </w:r>
    </w:p>
    <w:p w14:paraId="61DE2F5D" w14:textId="77777777" w:rsidR="009114C8" w:rsidRDefault="009114C8" w:rsidP="009114C8">
      <w:pPr>
        <w:pStyle w:val="paperabstract"/>
        <w:shd w:val="clear" w:color="auto" w:fill="FFFFFF"/>
        <w:spacing w:before="72" w:beforeAutospacing="0" w:after="48" w:afterAutospacing="0"/>
        <w:ind w:left="24" w:right="24"/>
        <w:jc w:val="both"/>
        <w:rPr>
          <w:rFonts w:ascii="Arial" w:hAnsi="Arial" w:cs="Arial"/>
          <w:color w:val="000000"/>
          <w:sz w:val="16"/>
          <w:szCs w:val="16"/>
        </w:rPr>
      </w:pPr>
      <w:r>
        <w:rPr>
          <w:rFonts w:ascii="Arial" w:hAnsi="Arial" w:cs="Arial"/>
          <w:color w:val="000000"/>
          <w:sz w:val="16"/>
          <w:szCs w:val="16"/>
        </w:rPr>
        <w:t xml:space="preserve">Financial price risk management tools such as forwards, futures, and options can support short-term resilience to input and output price fluctuations. However, despite their benefits in offsetting price risk, the adoption among farmers remains low. Since this appears inconsistent with the traditional view of farmers being risk averse in an expected utility framework, we build on recent findings from behavioral economic theory and re-design insurance contracts accordingly. More specifically, price risk management decisions </w:t>
      </w:r>
      <w:r>
        <w:rPr>
          <w:rFonts w:ascii="Arial" w:hAnsi="Arial" w:cs="Arial"/>
          <w:color w:val="000000"/>
          <w:sz w:val="16"/>
          <w:szCs w:val="16"/>
        </w:rPr>
        <w:lastRenderedPageBreak/>
        <w:t>appear to correlate with loss aversion and time preferences rather than only risk aversion, which is why we adjust contract payment times and coverage rates. In a simulation exercise we show that under prospect value maximization these adjustments increase attractiveness of price risk management tools for representative European farms. Our findings show entry points for the CAP to incentivize the adoption of such contracts beyond subsidization. Thereby, price risk management tools can become a tool that provides short-term resilience to (fossil-energy) price shocks. Within the overall framework of this session this can build a bridge into a mid-term future in which agriculture uses fossil fuels more efficiently and a long term future in which fossil fuels become obsolete.</w:t>
      </w:r>
    </w:p>
    <w:p w14:paraId="5AED253B" w14:textId="77777777" w:rsidR="00D36D4A" w:rsidRDefault="00D36D4A">
      <w:pPr>
        <w:spacing w:after="160" w:line="259" w:lineRule="auto"/>
        <w:rPr>
          <w:lang w:val="en-GB"/>
        </w:rPr>
      </w:pPr>
    </w:p>
    <w:p w14:paraId="40A747BC" w14:textId="77777777" w:rsidR="00D36D4A" w:rsidRDefault="00D36D4A">
      <w:pPr>
        <w:spacing w:after="160" w:line="259" w:lineRule="auto"/>
        <w:rPr>
          <w:lang w:val="en-GB"/>
        </w:rPr>
      </w:pPr>
    </w:p>
    <w:p w14:paraId="6C77DBA0" w14:textId="77777777" w:rsidR="00D36D4A" w:rsidRPr="008439EB" w:rsidRDefault="00D36D4A" w:rsidP="00D36D4A">
      <w:pPr>
        <w:jc w:val="both"/>
        <w:rPr>
          <w:lang w:val="en-GB"/>
        </w:rPr>
      </w:pPr>
      <w:r w:rsidRPr="005B5662">
        <w:rPr>
          <w:b/>
          <w:bCs/>
          <w:lang w:val="en-GB"/>
        </w:rPr>
        <w:t xml:space="preserve">Table </w:t>
      </w:r>
      <w:r w:rsidRPr="005B5662">
        <w:rPr>
          <w:b/>
          <w:bCs/>
          <w:lang w:val="en-GB"/>
        </w:rPr>
        <w:fldChar w:fldCharType="begin"/>
      </w:r>
      <w:r w:rsidRPr="005B5662">
        <w:rPr>
          <w:b/>
          <w:bCs/>
          <w:lang w:val="en-GB"/>
        </w:rPr>
        <w:instrText xml:space="preserve"> SEQ Table \* ARABIC </w:instrText>
      </w:r>
      <w:r w:rsidRPr="005B5662">
        <w:rPr>
          <w:b/>
          <w:bCs/>
          <w:lang w:val="en-GB"/>
        </w:rPr>
        <w:fldChar w:fldCharType="separate"/>
      </w:r>
      <w:r w:rsidRPr="005B5662">
        <w:rPr>
          <w:b/>
          <w:bCs/>
          <w:lang w:val="en-GB"/>
        </w:rPr>
        <w:t>2</w:t>
      </w:r>
      <w:r w:rsidRPr="005B5662">
        <w:rPr>
          <w:b/>
          <w:bCs/>
          <w:lang w:val="en-GB"/>
        </w:rPr>
        <w:fldChar w:fldCharType="end"/>
      </w:r>
      <w:r>
        <w:rPr>
          <w:lang w:val="en-GB"/>
        </w:rPr>
        <w:t xml:space="preserve">. </w:t>
      </w:r>
      <w:r w:rsidRPr="00CD0E99">
        <w:rPr>
          <w:i/>
          <w:iCs/>
          <w:lang w:val="en-GB"/>
        </w:rPr>
        <w:t>Considered maximization problems under different decision theories and framings.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D36D4A" w14:paraId="6D333D74" w14:textId="77777777" w:rsidTr="000A72D3">
        <w:tc>
          <w:tcPr>
            <w:tcW w:w="2337" w:type="dxa"/>
            <w:tcBorders>
              <w:top w:val="single" w:sz="4" w:space="0" w:color="auto"/>
              <w:bottom w:val="single" w:sz="4" w:space="0" w:color="auto"/>
            </w:tcBorders>
            <w:vAlign w:val="bottom"/>
          </w:tcPr>
          <w:p w14:paraId="4D316B48" w14:textId="77777777" w:rsidR="00D36D4A" w:rsidRDefault="00D36D4A" w:rsidP="000A72D3">
            <w:pPr>
              <w:spacing w:line="360" w:lineRule="auto"/>
              <w:jc w:val="center"/>
              <w:rPr>
                <w:lang w:val="en-GB"/>
              </w:rPr>
            </w:pPr>
          </w:p>
        </w:tc>
        <w:tc>
          <w:tcPr>
            <w:tcW w:w="2337" w:type="dxa"/>
            <w:tcBorders>
              <w:top w:val="single" w:sz="4" w:space="0" w:color="auto"/>
              <w:bottom w:val="single" w:sz="4" w:space="0" w:color="auto"/>
            </w:tcBorders>
            <w:vAlign w:val="bottom"/>
          </w:tcPr>
          <w:p w14:paraId="7BED8132" w14:textId="77777777" w:rsidR="00D36D4A" w:rsidRPr="007460F6" w:rsidRDefault="00D36D4A" w:rsidP="000A72D3">
            <w:pPr>
              <w:spacing w:line="360" w:lineRule="auto"/>
              <w:jc w:val="center"/>
              <w:rPr>
                <w:b/>
                <w:bCs/>
                <w:lang w:val="en-GB"/>
              </w:rPr>
            </w:pPr>
            <w:r w:rsidRPr="007460F6">
              <w:rPr>
                <w:b/>
                <w:bCs/>
                <w:lang w:val="en-GB"/>
              </w:rPr>
              <w:t>EU</w:t>
            </w:r>
          </w:p>
        </w:tc>
        <w:tc>
          <w:tcPr>
            <w:tcW w:w="2338" w:type="dxa"/>
            <w:tcBorders>
              <w:top w:val="single" w:sz="4" w:space="0" w:color="auto"/>
              <w:bottom w:val="single" w:sz="4" w:space="0" w:color="auto"/>
            </w:tcBorders>
            <w:vAlign w:val="bottom"/>
          </w:tcPr>
          <w:p w14:paraId="61824569" w14:textId="77777777" w:rsidR="00D36D4A" w:rsidRPr="007460F6" w:rsidRDefault="00D36D4A" w:rsidP="000A72D3">
            <w:pPr>
              <w:spacing w:line="360" w:lineRule="auto"/>
              <w:jc w:val="center"/>
              <w:rPr>
                <w:b/>
                <w:bCs/>
                <w:lang w:val="en-GB"/>
              </w:rPr>
            </w:pPr>
            <w:r w:rsidRPr="007460F6">
              <w:rPr>
                <w:b/>
                <w:bCs/>
                <w:lang w:val="en-GB"/>
              </w:rPr>
              <w:t>CPT</w:t>
            </w:r>
          </w:p>
        </w:tc>
        <w:tc>
          <w:tcPr>
            <w:tcW w:w="2338" w:type="dxa"/>
            <w:tcBorders>
              <w:top w:val="single" w:sz="4" w:space="0" w:color="auto"/>
              <w:bottom w:val="single" w:sz="4" w:space="0" w:color="auto"/>
            </w:tcBorders>
            <w:vAlign w:val="bottom"/>
          </w:tcPr>
          <w:p w14:paraId="5DADBCDC" w14:textId="77777777" w:rsidR="00D36D4A" w:rsidRPr="007460F6" w:rsidRDefault="00D36D4A" w:rsidP="000A72D3">
            <w:pPr>
              <w:spacing w:line="360" w:lineRule="auto"/>
              <w:jc w:val="center"/>
              <w:rPr>
                <w:b/>
                <w:bCs/>
                <w:lang w:val="en-GB"/>
              </w:rPr>
            </w:pPr>
            <w:r w:rsidRPr="007460F6">
              <w:rPr>
                <w:b/>
                <w:bCs/>
                <w:lang w:val="en-GB"/>
              </w:rPr>
              <w:t>Ambiguity</w:t>
            </w:r>
          </w:p>
        </w:tc>
      </w:tr>
      <w:tr w:rsidR="00D36D4A" w14:paraId="6EAC78B2" w14:textId="77777777" w:rsidTr="000A72D3">
        <w:tc>
          <w:tcPr>
            <w:tcW w:w="2337" w:type="dxa"/>
            <w:tcBorders>
              <w:top w:val="single" w:sz="4" w:space="0" w:color="auto"/>
            </w:tcBorders>
            <w:vAlign w:val="center"/>
          </w:tcPr>
          <w:p w14:paraId="61C97CCE" w14:textId="77777777" w:rsidR="00D36D4A" w:rsidRPr="007460F6" w:rsidRDefault="00D36D4A" w:rsidP="000A72D3">
            <w:pPr>
              <w:spacing w:line="360" w:lineRule="auto"/>
              <w:rPr>
                <w:i/>
                <w:iCs/>
                <w:lang w:val="en-GB"/>
              </w:rPr>
            </w:pPr>
            <w:r w:rsidRPr="007460F6">
              <w:rPr>
                <w:i/>
                <w:iCs/>
                <w:lang w:val="en-GB"/>
              </w:rPr>
              <w:t>Broad framing</w:t>
            </w:r>
          </w:p>
        </w:tc>
        <w:tc>
          <w:tcPr>
            <w:tcW w:w="2337" w:type="dxa"/>
            <w:tcBorders>
              <w:top w:val="single" w:sz="4" w:space="0" w:color="auto"/>
            </w:tcBorders>
            <w:vAlign w:val="bottom"/>
          </w:tcPr>
          <w:p w14:paraId="09C5D9CF" w14:textId="77777777" w:rsidR="00D36D4A" w:rsidRPr="00F73E53" w:rsidRDefault="00000000" w:rsidP="000A72D3">
            <w:pPr>
              <w:spacing w:line="360" w:lineRule="auto"/>
              <w:jc w:val="center"/>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06418E0E" w14:textId="77777777" w:rsidR="00D36D4A" w:rsidRDefault="00D36D4A" w:rsidP="000A72D3">
            <w:pPr>
              <w:spacing w:line="360" w:lineRule="auto"/>
              <w:jc w:val="both"/>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1BF356E0" w14:textId="77777777" w:rsidR="00D36D4A" w:rsidRPr="00855FF7" w:rsidRDefault="00000000"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61589428" w14:textId="77777777" w:rsidR="00D36D4A" w:rsidRPr="00855FF7" w:rsidRDefault="00D36D4A" w:rsidP="000A72D3">
            <w:pPr>
              <w:spacing w:line="360" w:lineRule="auto"/>
              <w:jc w:val="both"/>
              <w:rPr>
                <w:szCs w:val="24"/>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1E38B8FF" w14:textId="77777777" w:rsidR="00D36D4A" w:rsidRPr="00855FF7" w:rsidRDefault="00000000"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U</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011DC8C9" w14:textId="77777777" w:rsidR="00D36D4A" w:rsidRPr="00855FF7" w:rsidRDefault="00D36D4A" w:rsidP="000A72D3">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r>
      <w:tr w:rsidR="00D36D4A" w14:paraId="426F7443" w14:textId="77777777" w:rsidTr="000A72D3">
        <w:tc>
          <w:tcPr>
            <w:tcW w:w="2337" w:type="dxa"/>
            <w:tcBorders>
              <w:bottom w:val="single" w:sz="4" w:space="0" w:color="auto"/>
            </w:tcBorders>
            <w:vAlign w:val="center"/>
          </w:tcPr>
          <w:p w14:paraId="699F2EE9" w14:textId="77777777" w:rsidR="00D36D4A" w:rsidRPr="007460F6" w:rsidRDefault="00D36D4A" w:rsidP="000A72D3">
            <w:pPr>
              <w:spacing w:line="360" w:lineRule="auto"/>
              <w:rPr>
                <w:i/>
                <w:iCs/>
                <w:lang w:val="en-GB"/>
              </w:rPr>
            </w:pPr>
            <w:r w:rsidRPr="007460F6">
              <w:rPr>
                <w:i/>
                <w:iCs/>
                <w:lang w:val="en-GB"/>
              </w:rPr>
              <w:t>Narrow framing</w:t>
            </w:r>
          </w:p>
        </w:tc>
        <w:tc>
          <w:tcPr>
            <w:tcW w:w="2337" w:type="dxa"/>
            <w:tcBorders>
              <w:bottom w:val="single" w:sz="4" w:space="0" w:color="auto"/>
            </w:tcBorders>
            <w:vAlign w:val="bottom"/>
          </w:tcPr>
          <w:p w14:paraId="1AD79BC1" w14:textId="77777777" w:rsidR="00D36D4A" w:rsidRPr="00F73E53" w:rsidRDefault="00000000"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5C7EFF4C" w14:textId="77777777" w:rsidR="00D36D4A" w:rsidRPr="00855FF7" w:rsidRDefault="00D36D4A" w:rsidP="000A72D3">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bottom"/>
          </w:tcPr>
          <w:p w14:paraId="0F14EBB1" w14:textId="77777777" w:rsidR="00D36D4A" w:rsidRPr="00855FF7" w:rsidRDefault="00000000" w:rsidP="000A72D3">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30A29A0D" w14:textId="77777777" w:rsidR="00D36D4A" w:rsidRPr="00855FF7" w:rsidRDefault="00D36D4A" w:rsidP="000A72D3">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center"/>
          </w:tcPr>
          <w:p w14:paraId="68FCB9C4" w14:textId="77777777" w:rsidR="00D36D4A" w:rsidRPr="005D1D0D" w:rsidRDefault="00D36D4A" w:rsidP="000A72D3">
            <w:pPr>
              <w:spacing w:line="360" w:lineRule="auto"/>
              <w:jc w:val="center"/>
              <w:rPr>
                <w:i/>
                <w:lang w:val="en-GB"/>
              </w:rPr>
            </w:pPr>
            <w:r>
              <w:rPr>
                <w:i/>
                <w:lang w:val="en-GB"/>
              </w:rPr>
              <w:t>Na</w:t>
            </w:r>
          </w:p>
        </w:tc>
      </w:tr>
    </w:tbl>
    <w:p w14:paraId="09987CF2" w14:textId="56BA359A" w:rsidR="003C0C4F" w:rsidRDefault="003C0C4F">
      <w:pPr>
        <w:spacing w:after="160" w:line="259" w:lineRule="auto"/>
        <w:rPr>
          <w:lang w:val="en-GB"/>
        </w:rPr>
      </w:pPr>
      <w:r>
        <w:rPr>
          <w:lang w:val="en-GB"/>
        </w:rPr>
        <w:br w:type="page"/>
      </w:r>
    </w:p>
    <w:p w14:paraId="15EBE460" w14:textId="77777777" w:rsidR="003C0C4F" w:rsidRDefault="003C0C4F" w:rsidP="003C0C4F">
      <w:pPr>
        <w:pStyle w:val="Heading1"/>
        <w:numPr>
          <w:ilvl w:val="0"/>
          <w:numId w:val="0"/>
        </w:numPr>
        <w:ind w:left="432"/>
        <w:rPr>
          <w:lang w:val="en-US"/>
        </w:rPr>
      </w:pPr>
      <w:r>
        <w:rPr>
          <w:lang w:val="en-US"/>
        </w:rPr>
        <w:lastRenderedPageBreak/>
        <w:t xml:space="preserve">Appendix A – Variance of profits </w:t>
      </w:r>
    </w:p>
    <w:p w14:paraId="15A5064D" w14:textId="77777777" w:rsidR="003C0C4F" w:rsidRDefault="003C0C4F" w:rsidP="003C0C4F">
      <w:pPr>
        <w:spacing w:line="360" w:lineRule="auto"/>
        <w:jc w:val="both"/>
        <w:rPr>
          <w:lang w:val="en-GB"/>
        </w:rPr>
      </w:pPr>
      <w:r>
        <w:rPr>
          <w:lang w:val="en-GB"/>
        </w:rPr>
        <w:t>The profit function is:</w:t>
      </w:r>
    </w:p>
    <w:p w14:paraId="76EF8020" w14:textId="77777777" w:rsidR="003C0C4F" w:rsidRPr="00B65EF9" w:rsidRDefault="00000000" w:rsidP="003C0C4F">
      <w:pPr>
        <w:spacing w:line="360" w:lineRule="auto"/>
        <w:jc w:val="both"/>
      </w:pPr>
      <m:oMathPara>
        <m:oMathParaPr>
          <m:jc m:val="center"/>
        </m:oMathParaPr>
        <m:oMath>
          <m:eqArr>
            <m:eqArrPr>
              <m:maxDist m:val="1"/>
              <m:ctrlPr>
                <w:rPr>
                  <w:rFonts w:ascii="Cambria Math" w:hAnsi="Cambria Math" w:cs="Calibr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5D1348C1" w14:textId="77777777" w:rsidR="003C0C4F" w:rsidRPr="00D5293B" w:rsidRDefault="003C0C4F" w:rsidP="003C0C4F">
      <w:pPr>
        <w:spacing w:line="360" w:lineRule="auto"/>
        <w:jc w:val="both"/>
        <w:rPr>
          <w:lang w:val="en-GB"/>
        </w:rPr>
      </w:pPr>
      <w:r w:rsidRPr="00D5293B">
        <w:rPr>
          <w:lang w:val="en-GB"/>
        </w:rPr>
        <w:t>or:</w:t>
      </w:r>
    </w:p>
    <w:p w14:paraId="47DAFB24" w14:textId="77777777" w:rsidR="003C0C4F" w:rsidRDefault="00000000" w:rsidP="003C0C4F">
      <w:pPr>
        <w:spacing w:line="360" w:lineRule="auto"/>
        <w:jc w:val="center"/>
        <w:rPr>
          <w:lang w:val="en-GB"/>
        </w:rPr>
      </w:pPr>
      <m:oMathPara>
        <m:oMath>
          <m:eqArr>
            <m:eqArrPr>
              <m:maxDist m:val="1"/>
              <m:ctrlPr>
                <w:rPr>
                  <w:rFonts w:ascii="Cambria Math" w:hAnsi="Cambria Math"/>
                  <w:i/>
                  <w:lang w:val="en-GB"/>
                </w:rPr>
              </m:ctrlPr>
            </m:eqArrPr>
            <m:e>
              <m:r>
                <w:rPr>
                  <w:rFonts w:ascii="Cambria Math" w:hAnsi="Cambria Math" w:cs="Calibri"/>
                </w:rPr>
                <m:t>π</m:t>
              </m:r>
              <m:r>
                <w:rPr>
                  <w:rFonts w:ascii="Cambria Math" w:hAnsi="Cambria Math" w:cs="Calibri"/>
                  <w:lang w:val="en-GB"/>
                </w:rPr>
                <m:t>=</m:t>
              </m:r>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m:r>
                <w:rPr>
                  <w:rFonts w:ascii="Cambria Math" w:hAnsi="Cambria Math" w:cs="Calibri"/>
                  <w:lang w:val="en-GB"/>
                </w:rPr>
                <m:t>-</m:t>
              </m:r>
              <m:r>
                <m:rPr>
                  <m:sty m:val="p"/>
                </m:rPr>
                <w:rPr>
                  <w:rFonts w:ascii="Cambria Math" w:hAnsi="Cambria Math" w:cs="Calibri"/>
                  <w:lang w:val="en-GB"/>
                </w:rPr>
                <m:t>Γ</m:t>
              </m:r>
              <m:ctrlPr>
                <w:rPr>
                  <w:rFonts w:ascii="Cambria Math" w:hAnsi="Cambria Math" w:cs="Calibri"/>
                  <w:i/>
                </w:rPr>
              </m:ctrlPr>
            </m:e>
          </m:eqArr>
        </m:oMath>
      </m:oMathPara>
    </w:p>
    <w:p w14:paraId="36E1648D" w14:textId="77777777" w:rsidR="003C0C4F" w:rsidRDefault="003C0C4F" w:rsidP="003C0C4F">
      <w:pPr>
        <w:spacing w:line="360" w:lineRule="auto"/>
        <w:jc w:val="both"/>
        <w:rPr>
          <w:lang w:val="en-GB"/>
        </w:rPr>
      </w:pPr>
      <w:r>
        <w:rPr>
          <w:lang w:val="en-GB"/>
        </w:rPr>
        <w:t xml:space="preserve">Defining </w:t>
      </w:r>
      <m:oMath>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,E</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E</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E</m:t>
            </m:r>
          </m:e>
          <m:sub>
            <m:r>
              <m:rPr>
                <m:sty m:val="p"/>
              </m:rPr>
              <w:rPr>
                <w:rFonts w:ascii="Cambria Math" w:hAnsi="Cambria Math"/>
                <w:lang w:val="en-GB"/>
              </w:rPr>
              <m:t>Π</m:t>
            </m:r>
          </m:sub>
        </m:sSub>
      </m:oMath>
      <w:r w:rsidRPr="00A6071A">
        <w:rPr>
          <w:lang w:val="en-GB"/>
        </w:rPr>
        <w:t xml:space="preserve">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 V</m:t>
            </m:r>
          </m:e>
          <m:sub>
            <m:r>
              <w:rPr>
                <w:rFonts w:ascii="Cambria Math" w:hAnsi="Cambria Math"/>
                <w:lang w:val="en-GB"/>
              </w:rPr>
              <m:t>y</m:t>
            </m:r>
          </m:sub>
        </m:sSub>
        <m:r>
          <w:rPr>
            <w:rFonts w:ascii="Cambria Math" w:hAnsi="Cambria Math"/>
            <w:lang w:val="en-GB"/>
          </w:rPr>
          <m:t>,</m:t>
        </m:r>
      </m:oMath>
      <w:r w:rsidRPr="00A6071A">
        <w:rPr>
          <w:lang w:val="en-GB"/>
        </w:rPr>
        <w:t xml:space="preserve"> </w:t>
      </w:r>
      <m:oMath>
        <m:sSub>
          <m:sSubPr>
            <m:ctrlPr>
              <w:rPr>
                <w:rFonts w:ascii="Cambria Math" w:hAnsi="Cambria Math" w:cs="Calibri"/>
                <w:i/>
              </w:rPr>
            </m:ctrlPr>
          </m:sSubPr>
          <m:e>
            <m:r>
              <w:rPr>
                <w:rFonts w:ascii="Cambria Math" w:hAnsi="Cambria Math" w:cs="Calibri"/>
              </w:rPr>
              <m:t>V</m:t>
            </m:r>
          </m:e>
          <m:sub>
            <m:r>
              <w:rPr>
                <w:rFonts w:ascii="Cambria Math" w:hAnsi="Cambria Math" w:cs="Calibri"/>
                <w:lang w:val="en-GB"/>
              </w:rPr>
              <m:t>s</m:t>
            </m:r>
          </m:sub>
        </m:sSub>
      </m:oMath>
      <w:r w:rsidRPr="00A6071A">
        <w:rPr>
          <w:lang w:val="en-GB"/>
        </w:rPr>
        <w:t xml:space="preserve"> and </w:t>
      </w:r>
      <m:oMath>
        <m:sSub>
          <m:sSubPr>
            <m:ctrlPr>
              <w:rPr>
                <w:rFonts w:ascii="Cambria Math" w:hAnsi="Cambria Math" w:cs="Calibri"/>
                <w:i/>
              </w:rPr>
            </m:ctrlPr>
          </m:sSubPr>
          <m:e>
            <m:r>
              <w:rPr>
                <w:rFonts w:ascii="Cambria Math" w:hAnsi="Cambria Math" w:cs="Calibri"/>
              </w:rPr>
              <m:t>V</m:t>
            </m:r>
          </m:e>
          <m:sub>
            <m:r>
              <m:rPr>
                <m:sty m:val="p"/>
              </m:rPr>
              <w:rPr>
                <w:rFonts w:ascii="Cambria Math" w:hAnsi="Cambria Math"/>
                <w:lang w:val="en-GB"/>
              </w:rPr>
              <m:t>Π</m:t>
            </m:r>
          </m:sub>
        </m:sSub>
        <m:r>
          <w:rPr>
            <w:rFonts w:ascii="Cambria Math" w:hAnsi="Cambria Math" w:cs="Calibri"/>
            <w:lang w:val="en-GB"/>
          </w:rPr>
          <m:t>)</m:t>
        </m:r>
      </m:oMath>
      <w:r w:rsidRPr="00EA546E">
        <w:rPr>
          <w:lang w:val="en-GB"/>
        </w:rPr>
        <w:t xml:space="preserve"> </w:t>
      </w:r>
      <w:r>
        <w:rPr>
          <w:lang w:val="en-GB"/>
        </w:rPr>
        <w:t xml:space="preserve">as the expected value (variance) of wheat prices, yield, fertilizer prices and contract payoff. </w:t>
      </w:r>
    </w:p>
    <w:p w14:paraId="7FDB5235" w14:textId="77777777" w:rsidR="003C0C4F" w:rsidRDefault="003C0C4F" w:rsidP="003C0C4F">
      <w:pPr>
        <w:spacing w:line="360" w:lineRule="auto"/>
        <w:jc w:val="both"/>
        <w:rPr>
          <w:lang w:val="en-GB"/>
        </w:rPr>
      </w:pPr>
      <w:r>
        <w:rPr>
          <w:lang w:val="en-GB"/>
        </w:rPr>
        <w:t xml:space="preserve">The variance of profits is derived as: </w:t>
      </w:r>
    </w:p>
    <w:p w14:paraId="1BEDA50E" w14:textId="77777777" w:rsidR="003C0C4F" w:rsidRDefault="003C0C4F" w:rsidP="003C0C4F">
      <w:pPr>
        <w:spacing w:line="360" w:lineRule="auto"/>
        <w:jc w:val="both"/>
        <w:rPr>
          <w:lang w:val="en-GB"/>
        </w:rPr>
      </w:pPr>
      <m:oMathPara>
        <m:oMath>
          <m:r>
            <w:rPr>
              <w:rFonts w:ascii="Cambria Math" w:hAnsi="Cambria Math" w:cs="Calibri"/>
            </w:rPr>
            <m:t>Var(π)</m:t>
          </m:r>
          <m:r>
            <w:rPr>
              <w:rFonts w:ascii="Cambria Math" w:hAnsi="Cambria Math" w:cs="Calibri"/>
              <w:lang w:val="en-GB"/>
            </w:rPr>
            <m:t>=Var{(</m:t>
          </m:r>
          <m:r>
            <w:rPr>
              <w:rFonts w:ascii="Cambria Math" w:hAnsi="Cambria Math" w:cs="Calibri"/>
            </w:rPr>
            <m:t>py)</m:t>
          </m:r>
          <m:r>
            <w:rPr>
              <w:rFonts w:ascii="Cambria Math" w:hAnsi="Cambria Math" w:cs="Calibri"/>
              <w:lang w:val="en-GB"/>
            </w:rPr>
            <m:t>-[</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cs="Calibri"/>
            </w:rPr>
            <m:t>N]}</m:t>
          </m:r>
        </m:oMath>
      </m:oMathPara>
    </w:p>
    <w:p w14:paraId="06E1CFD9"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-2NCov</m:t>
          </m:r>
          <m:d>
            <m:dPr>
              <m:ctrlPr>
                <w:rPr>
                  <w:rFonts w:ascii="Cambria Math" w:hAnsi="Cambria Math"/>
                  <w:i/>
                </w:rPr>
              </m:ctrlPr>
            </m:dPr>
            <m:e>
              <m:r>
                <w:rPr>
                  <w:rFonts w:ascii="Cambria Math" w:hAnsi="Cambria Math" w:cs="Calibri"/>
                </w:rPr>
                <m:t>py,</m:t>
              </m:r>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1FEF6F6E" w14:textId="77777777" w:rsidR="003C0C4F" w:rsidRDefault="003C0C4F" w:rsidP="003C0C4F">
      <w:pPr>
        <w:spacing w:line="360" w:lineRule="auto"/>
        <w:jc w:val="both"/>
        <w:rPr>
          <w:lang w:val="en-GB"/>
        </w:rPr>
      </w:pPr>
      <w:r>
        <w:rPr>
          <w:lang w:val="en-GB"/>
        </w:rPr>
        <w:t>i</w:t>
      </w:r>
      <w:r w:rsidRPr="00D66A75">
        <w:rPr>
          <w:lang w:val="en-GB"/>
        </w:rPr>
        <w:t>f</w:t>
      </w:r>
      <w:r>
        <w:rPr>
          <w:lang w:val="en-GB"/>
        </w:rPr>
        <w:t xml:space="preserve"> </w:t>
      </w:r>
      <m:oMath>
        <m:r>
          <w:rPr>
            <w:rFonts w:ascii="Cambria Math" w:hAnsi="Cambria Math"/>
            <w:lang w:val="en-GB"/>
          </w:rPr>
          <m:t>py</m:t>
        </m:r>
      </m:oMath>
      <w:r w:rsidRPr="00D66A75">
        <w:rPr>
          <w:lang w:val="en-GB"/>
        </w:rPr>
        <w:t xml:space="preserve"> and </w:t>
      </w:r>
      <m:oMath>
        <m:r>
          <w:rPr>
            <w:rFonts w:ascii="Cambria Math" w:hAnsi="Cambria Math"/>
            <w:lang w:val="en-GB"/>
          </w:rPr>
          <m:t>s-</m:t>
        </m:r>
        <m:r>
          <m:rPr>
            <m:sty m:val="p"/>
          </m:rPr>
          <w:rPr>
            <w:rFonts w:ascii="Cambria Math" w:hAnsi="Cambria Math"/>
          </w:rPr>
          <m:t>Π</m:t>
        </m:r>
      </m:oMath>
      <w:r>
        <w:rPr>
          <w:lang w:val="en-GB"/>
        </w:rPr>
        <w:t xml:space="preserve"> are independent, then </w:t>
      </w:r>
      <m:oMath>
        <m:r>
          <w:rPr>
            <w:rFonts w:ascii="Cambria Math" w:hAnsi="Cambria Math"/>
          </w:rPr>
          <m:t>Cov</m:t>
        </m:r>
        <m:d>
          <m:dPr>
            <m:ctrlPr>
              <w:rPr>
                <w:rFonts w:ascii="Cambria Math" w:hAnsi="Cambria Math"/>
                <w:i/>
              </w:rPr>
            </m:ctrlPr>
          </m:dPr>
          <m:e>
            <m:r>
              <w:rPr>
                <w:rFonts w:ascii="Cambria Math" w:hAnsi="Cambria Math" w:cs="Calibri"/>
              </w:rPr>
              <m:t>py</m:t>
            </m:r>
            <m:r>
              <w:rPr>
                <w:rFonts w:ascii="Cambria Math" w:hAnsi="Cambria Math" w:cs="Calibri"/>
                <w:lang w:val="en-GB"/>
              </w:rPr>
              <m:t>,</m:t>
            </m:r>
            <m:r>
              <w:rPr>
                <w:rFonts w:ascii="Cambria Math" w:hAnsi="Cambria Math"/>
                <w:lang w:val="en-US"/>
              </w:rPr>
              <m:t>s</m:t>
            </m:r>
            <m:r>
              <w:rPr>
                <w:rFonts w:ascii="Cambria Math" w:hAnsi="Cambria Math" w:cs="Calibri"/>
                <w:lang w:val="en-GB"/>
              </w:rPr>
              <m:t>-</m:t>
            </m:r>
            <m:r>
              <m:rPr>
                <m:sty m:val="p"/>
              </m:rPr>
              <w:rPr>
                <w:rFonts w:ascii="Cambria Math" w:hAnsi="Cambria Math"/>
              </w:rPr>
              <m:t>Π</m:t>
            </m:r>
            <m:ctrlPr>
              <w:rPr>
                <w:rFonts w:ascii="Cambria Math" w:hAnsi="Cambria Math"/>
              </w:rPr>
            </m:ctrlPr>
          </m:e>
        </m:d>
        <m:r>
          <w:rPr>
            <w:rFonts w:ascii="Cambria Math" w:hAnsi="Cambria Math"/>
            <w:lang w:val="en-GB"/>
          </w:rPr>
          <m:t>=0</m:t>
        </m:r>
      </m:oMath>
      <w:r>
        <w:rPr>
          <w:lang w:val="en-GB"/>
        </w:rPr>
        <w:t>. Hence:</w:t>
      </w:r>
    </w:p>
    <w:p w14:paraId="3F92A042" w14:textId="77777777" w:rsidR="003C0C4F" w:rsidRPr="00D66A75" w:rsidRDefault="003C0C4F" w:rsidP="003C0C4F">
      <w:pPr>
        <w:spacing w:line="360" w:lineRule="auto"/>
        <w:jc w:val="both"/>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lang w:val="en-GB"/>
            </w:rPr>
            <m:t>+</m:t>
          </m:r>
          <m:sSup>
            <m:sSupPr>
              <m:ctrlPr>
                <w:rPr>
                  <w:rFonts w:ascii="Cambria Math" w:hAnsi="Cambria Math" w:cs="Calibri"/>
                  <w:i/>
                  <w:lang w:val="en-GB"/>
                </w:rPr>
              </m:ctrlPr>
            </m:sSupPr>
            <m:e>
              <m:r>
                <w:rPr>
                  <w:rFonts w:ascii="Cambria Math" w:hAnsi="Cambria Math" w:cs="Calibri"/>
                  <w:lang w:val="en-GB"/>
                </w:rPr>
                <m:t>N</m:t>
              </m:r>
            </m:e>
            <m:sup>
              <m:r>
                <w:rPr>
                  <w:rFonts w:ascii="Cambria Math" w:hAnsi="Cambria Math" w:cs="Calibri"/>
                  <w:lang w:val="en-GB"/>
                </w:rPr>
                <m:t>2</m:t>
              </m:r>
            </m:sup>
          </m:sSup>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oMath>
      </m:oMathPara>
    </w:p>
    <w:p w14:paraId="771AE0E2" w14:textId="77777777" w:rsidR="003C0C4F" w:rsidRPr="00D66A75" w:rsidRDefault="003C0C4F" w:rsidP="003C0C4F">
      <w:pPr>
        <w:spacing w:line="360" w:lineRule="auto"/>
        <w:jc w:val="both"/>
      </w:pPr>
      <w:r>
        <w:t>further</w:t>
      </w:r>
    </w:p>
    <w:p w14:paraId="5D32474B" w14:textId="77777777" w:rsidR="003C0C4F" w:rsidRPr="00D66A75"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rPr>
              </m:ctrlPr>
            </m:dPr>
            <m:e>
              <m:r>
                <w:rPr>
                  <w:rFonts w:ascii="Cambria Math" w:hAnsi="Cambria Math"/>
                  <w:lang w:val="en-US"/>
                </w:rPr>
                <m:t>s</m:t>
              </m:r>
              <m:r>
                <w:rPr>
                  <w:rFonts w:ascii="Cambria Math" w:hAnsi="Cambria Math" w:cs="Calibri"/>
                </w:rPr>
                <m:t>-</m:t>
              </m:r>
              <m:r>
                <m:rPr>
                  <m:sty m:val="p"/>
                </m:rPr>
                <w:rPr>
                  <w:rFonts w:ascii="Cambria Math" w:hAnsi="Cambria Math"/>
                </w:rPr>
                <m:t>Π</m:t>
              </m:r>
              <m:ctrlPr>
                <w:rPr>
                  <w:rFonts w:ascii="Cambria Math" w:hAnsi="Cambria Math"/>
                </w:rPr>
              </m:ctrlPr>
            </m:e>
          </m:d>
          <m:r>
            <w:rPr>
              <w:rFonts w:ascii="Cambria Math" w:hAnsi="Cambria Math"/>
            </w:rPr>
            <m:t>=Var</m:t>
          </m:r>
          <m:d>
            <m:dPr>
              <m:ctrlPr>
                <w:rPr>
                  <w:rFonts w:ascii="Cambria Math" w:hAnsi="Cambria Math"/>
                  <w:i/>
                </w:rPr>
              </m:ctrlPr>
            </m:dPr>
            <m:e>
              <m:r>
                <w:rPr>
                  <w:rFonts w:ascii="Cambria Math" w:hAnsi="Cambria Math"/>
                </w:rPr>
                <m:t>s</m:t>
              </m:r>
            </m:e>
          </m:d>
          <m:r>
            <w:rPr>
              <w:rFonts w:ascii="Cambria Math" w:hAnsi="Cambria Math"/>
            </w:rPr>
            <m:t>+Var</m:t>
          </m:r>
          <m:d>
            <m:dPr>
              <m:ctrlPr>
                <w:rPr>
                  <w:rFonts w:ascii="Cambria Math" w:hAnsi="Cambria Math"/>
                  <w:i/>
                </w:rPr>
              </m:ctrlPr>
            </m:dPr>
            <m:e>
              <m:r>
                <m:rPr>
                  <m:sty m:val="p"/>
                </m:rPr>
                <w:rPr>
                  <w:rFonts w:ascii="Cambria Math" w:hAnsi="Cambria Math"/>
                </w:rPr>
                <m:t>Π</m:t>
              </m:r>
            </m:e>
          </m:d>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6CE5F890" w14:textId="77777777" w:rsidR="003C0C4F" w:rsidRDefault="003C0C4F" w:rsidP="003C0C4F">
      <w:pPr>
        <w:spacing w:line="360" w:lineRule="auto"/>
        <w:jc w:val="both"/>
        <w:rPr>
          <w:lang w:val="en-GB"/>
        </w:rPr>
      </w:pPr>
      <w:r>
        <w:rPr>
          <w:lang w:val="en-GB"/>
        </w:rPr>
        <w:t>and</w:t>
      </w:r>
    </w:p>
    <w:p w14:paraId="4D7D90DE" w14:textId="77777777" w:rsidR="003C0C4F" w:rsidRPr="0059198F" w:rsidRDefault="003C0C4F" w:rsidP="003C0C4F">
      <w:pPr>
        <w:spacing w:line="360" w:lineRule="auto"/>
        <w:jc w:val="both"/>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=E</m:t>
          </m:r>
          <m:d>
            <m:dPr>
              <m:begChr m:val="["/>
              <m:endChr m:val="]"/>
              <m:ctrlPr>
                <w:rPr>
                  <w:rFonts w:ascii="Cambria Math" w:hAnsi="Cambria Math" w:cs="Calibri"/>
                  <w:i/>
                </w:rPr>
              </m:ctrlPr>
            </m:dPr>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py</m:t>
                      </m:r>
                    </m:e>
                  </m:d>
                </m:e>
                <m:sup>
                  <m:r>
                    <w:rPr>
                      <w:rFonts w:ascii="Cambria Math" w:hAnsi="Cambria Math" w:cs="Calibri"/>
                    </w:rPr>
                    <m:t>2</m:t>
                  </m:r>
                </m:sup>
              </m:sSup>
            </m:e>
          </m:d>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e>
              </m:d>
            </m:e>
            <m:sup>
              <m:r>
                <w:rPr>
                  <w:rFonts w:ascii="Cambria Math" w:hAnsi="Cambria Math" w:cs="Calibri"/>
                </w:rPr>
                <m:t>2</m:t>
              </m:r>
            </m:sup>
          </m:sSup>
        </m:oMath>
      </m:oMathPara>
    </w:p>
    <w:p w14:paraId="652B657E" w14:textId="77777777" w:rsidR="003C0C4F" w:rsidRDefault="003C0C4F" w:rsidP="003C0C4F">
      <w:pPr>
        <w:spacing w:line="360" w:lineRule="auto"/>
        <w:jc w:val="both"/>
        <w:rPr>
          <w:lang w:val="en-GB"/>
        </w:rPr>
      </w:pPr>
      <w:r>
        <w:t xml:space="preserve">with </w:t>
      </w:r>
    </w:p>
    <w:p w14:paraId="4CE1929A" w14:textId="77777777" w:rsidR="003C0C4F" w:rsidRPr="0059198F" w:rsidRDefault="003C0C4F" w:rsidP="003C0C4F">
      <w:pPr>
        <w:spacing w:line="360" w:lineRule="auto"/>
        <w:jc w:val="both"/>
      </w:pPr>
      <m:oMathPara>
        <m:oMath>
          <m:r>
            <w:rPr>
              <w:rFonts w:ascii="Cambria Math" w:hAnsi="Cambria Math" w:cs="Calibri"/>
            </w:rPr>
            <m:t>E</m:t>
          </m:r>
          <m:d>
            <m:dPr>
              <m:ctrlPr>
                <w:rPr>
                  <w:rFonts w:ascii="Cambria Math" w:hAnsi="Cambria Math" w:cs="Calibri"/>
                  <w:i/>
                </w:rPr>
              </m:ctrlPr>
            </m:dPr>
            <m:e>
              <m:r>
                <w:rPr>
                  <w:rFonts w:ascii="Cambria Math" w:hAnsi="Cambria Math" w:cs="Calibri"/>
                </w:rPr>
                <m:t>py</m:t>
              </m:r>
            </m:e>
          </m:d>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rPr>
            <m:t>+Cov</m:t>
          </m:r>
          <m:d>
            <m:dPr>
              <m:ctrlPr>
                <w:rPr>
                  <w:rFonts w:ascii="Cambria Math" w:hAnsi="Cambria Math" w:cs="Calibri"/>
                  <w:i/>
                </w:rPr>
              </m:ctrlPr>
            </m:dPr>
            <m:e>
              <m:r>
                <w:rPr>
                  <w:rFonts w:ascii="Cambria Math" w:hAnsi="Cambria Math" w:cs="Calibri"/>
                </w:rPr>
                <m:t>p,y</m:t>
              </m:r>
            </m:e>
          </m:d>
        </m:oMath>
      </m:oMathPara>
    </w:p>
    <w:p w14:paraId="04C1F325" w14:textId="77777777" w:rsidR="003C0C4F" w:rsidRPr="0059198F"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=Var</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py</m:t>
                      </m:r>
                    </m:e>
                  </m:d>
                </m:e>
              </m:d>
            </m:e>
            <m:sup>
              <m:r>
                <w:rPr>
                  <w:rFonts w:ascii="Cambria Math" w:hAnsi="Cambria Math"/>
                  <w:lang w:val="en-GB"/>
                </w:rPr>
                <m:t>2</m:t>
              </m:r>
            </m:sup>
          </m:sSup>
        </m:oMath>
      </m:oMathPara>
    </w:p>
    <w:p w14:paraId="1F9973B6" w14:textId="77777777" w:rsidR="003C0C4F" w:rsidRDefault="003C0C4F" w:rsidP="003C0C4F">
      <w:pPr>
        <w:spacing w:line="360" w:lineRule="auto"/>
        <w:jc w:val="both"/>
        <w:rPr>
          <w:lang w:val="en-GB"/>
        </w:rPr>
      </w:pPr>
      <w:r>
        <w:rPr>
          <w:lang w:val="en-GB"/>
        </w:rPr>
        <w:t>Assuming joint normality</w:t>
      </w:r>
    </w:p>
    <w:p w14:paraId="5CF8D978" w14:textId="77777777" w:rsidR="003C0C4F" w:rsidRPr="00B65EF9" w:rsidRDefault="003C0C4F" w:rsidP="003C0C4F">
      <w:pPr>
        <w:spacing w:line="360" w:lineRule="auto"/>
        <w:jc w:val="both"/>
        <w:rPr>
          <w:lang w:val="en-GB"/>
        </w:rPr>
      </w:pPr>
      <m:oMathPara>
        <m:oMath>
          <m:r>
            <w:rPr>
              <w:rFonts w:ascii="Cambria Math" w:hAnsi="Cambria Math"/>
              <w:lang w:val="en-GB"/>
            </w:rPr>
            <m:t>E</m:t>
          </m:r>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p</m:t>
                  </m:r>
                </m:e>
                <m:sup>
                  <m:r>
                    <w:rPr>
                      <w:rFonts w:ascii="Cambria Math" w:hAnsi="Cambria Math"/>
                      <w:lang w:val="en-GB"/>
                    </w:rPr>
                    <m:t>2</m:t>
                  </m:r>
                </m:sup>
              </m:sSup>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+2Cov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+4E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oMath>
      </m:oMathPara>
    </w:p>
    <w:p w14:paraId="51BBADF4" w14:textId="77777777" w:rsidR="003C0C4F" w:rsidRDefault="003C0C4F" w:rsidP="003C0C4F">
      <w:pPr>
        <w:spacing w:line="360" w:lineRule="auto"/>
        <w:jc w:val="both"/>
        <w:rPr>
          <w:lang w:val="en-GB"/>
        </w:rPr>
      </w:pPr>
      <w:r>
        <w:rPr>
          <w:lang w:val="en-GB"/>
        </w:rPr>
        <w:t xml:space="preserve">Subtracting </w:t>
      </w:r>
      <m:oMath>
        <m:sSup>
          <m:sSupPr>
            <m:ctrlPr>
              <w:rPr>
                <w:rFonts w:ascii="Cambria Math" w:hAnsi="Cambria Math" w:cs="Calibri"/>
                <w:i/>
                <w:lang w:val="en-GB"/>
              </w:rPr>
            </m:ctrlPr>
          </m:sSupPr>
          <m:e>
            <m:d>
              <m:dPr>
                <m:begChr m:val="["/>
                <m:endChr m:val="]"/>
                <m:ctrlPr>
                  <w:rPr>
                    <w:rFonts w:ascii="Cambria Math" w:hAnsi="Cambria Math"/>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py</m:t>
                    </m:r>
                  </m:e>
                </m:d>
                <m:ctrlPr>
                  <w:rPr>
                    <w:rFonts w:ascii="Cambria Math" w:hAnsi="Cambria Math" w:cs="Calibri"/>
                    <w:i/>
                    <w:lang w:val="en-GB"/>
                  </w:rPr>
                </m:ctrlPr>
              </m:e>
            </m:d>
          </m:e>
          <m:sup>
            <m:r>
              <w:rPr>
                <w:rFonts w:ascii="Cambria Math" w:hAnsi="Cambria Math" w:cs="Calibri"/>
                <w:lang w:val="en-GB"/>
              </w:rPr>
              <m:t>2</m:t>
            </m:r>
          </m:sup>
        </m:sSup>
        <m:r>
          <w:rPr>
            <w:rFonts w:ascii="Cambria Math" w:hAnsi="Cambria Math" w:cs="Calibri"/>
            <w:lang w:val="en-GB"/>
          </w:rPr>
          <m:t>=</m:t>
        </m:r>
        <m:sSup>
          <m:sSupPr>
            <m:ctrlPr>
              <w:rPr>
                <w:rFonts w:ascii="Cambria Math" w:hAnsi="Cambria Math" w:cs="Calibri"/>
                <w:i/>
                <w:lang w:val="en-GB"/>
              </w:rPr>
            </m:ctrlPr>
          </m:sSupPr>
          <m:e>
            <m:d>
              <m:dPr>
                <m:begChr m:val="["/>
                <m:endChr m:val="]"/>
                <m:ctrlPr>
                  <w:rPr>
                    <w:rFonts w:ascii="Cambria Math" w:hAnsi="Cambria Math" w:cs="Calibri"/>
                    <w:i/>
                    <w:lang w:val="en-GB"/>
                  </w:rPr>
                </m:ctrlPr>
              </m:dPr>
              <m:e>
                <m:r>
                  <w:rPr>
                    <w:rFonts w:ascii="Cambria Math" w:hAnsi="Cambria Math" w:cs="Calibri"/>
                  </w:rPr>
                  <m:t>E</m:t>
                </m:r>
                <m:d>
                  <m:dPr>
                    <m:ctrlPr>
                      <w:rPr>
                        <w:rFonts w:ascii="Cambria Math" w:hAnsi="Cambria Math" w:cs="Calibri"/>
                        <w:i/>
                      </w:rPr>
                    </m:ctrlPr>
                  </m:dPr>
                  <m:e>
                    <m:r>
                      <w:rPr>
                        <w:rFonts w:ascii="Cambria Math" w:hAnsi="Cambria Math" w:cs="Calibri"/>
                      </w:rPr>
                      <m:t>p</m:t>
                    </m:r>
                  </m:e>
                </m:d>
                <m:r>
                  <w:rPr>
                    <w:rFonts w:ascii="Cambria Math" w:hAnsi="Cambria Math" w:cs="Calibri"/>
                  </w:rPr>
                  <m:t>E</m:t>
                </m:r>
                <m:d>
                  <m:dPr>
                    <m:ctrlPr>
                      <w:rPr>
                        <w:rFonts w:ascii="Cambria Math" w:hAnsi="Cambria Math" w:cs="Calibri"/>
                        <w:i/>
                      </w:rPr>
                    </m:ctrlPr>
                  </m:dPr>
                  <m:e>
                    <m:r>
                      <w:rPr>
                        <w:rFonts w:ascii="Cambria Math" w:hAnsi="Cambria Math" w:cs="Calibri"/>
                      </w:rPr>
                      <m:t>y</m:t>
                    </m:r>
                  </m:e>
                </m:d>
                <m:r>
                  <w:rPr>
                    <w:rFonts w:ascii="Cambria Math" w:hAnsi="Cambria Math" w:cs="Calibri"/>
                    <w:lang w:val="en-GB"/>
                  </w:rPr>
                  <m:t>+</m:t>
                </m:r>
                <m:r>
                  <w:rPr>
                    <w:rFonts w:ascii="Cambria Math" w:hAnsi="Cambria Math" w:cs="Calibri"/>
                  </w:rPr>
                  <m:t>Cov</m:t>
                </m:r>
                <m:d>
                  <m:dPr>
                    <m:ctrlPr>
                      <w:rPr>
                        <w:rFonts w:ascii="Cambria Math" w:hAnsi="Cambria Math" w:cs="Calibri"/>
                        <w:i/>
                      </w:rPr>
                    </m:ctrlPr>
                  </m:dPr>
                  <m:e>
                    <m:r>
                      <w:rPr>
                        <w:rFonts w:ascii="Cambria Math" w:hAnsi="Cambria Math" w:cs="Calibri"/>
                      </w:rPr>
                      <m:t>p</m:t>
                    </m:r>
                    <m:r>
                      <w:rPr>
                        <w:rFonts w:ascii="Cambria Math" w:hAnsi="Cambria Math" w:cs="Calibri"/>
                        <w:lang w:val="en-GB"/>
                      </w:rPr>
                      <m:t>,</m:t>
                    </m:r>
                    <m:r>
                      <w:rPr>
                        <w:rFonts w:ascii="Cambria Math" w:hAnsi="Cambria Math" w:cs="Calibri"/>
                      </w:rPr>
                      <m:t>y</m:t>
                    </m:r>
                  </m:e>
                </m:d>
              </m:e>
            </m:d>
          </m:e>
          <m:sup>
            <m:r>
              <w:rPr>
                <w:rFonts w:ascii="Cambria Math" w:hAnsi="Cambria Math" w:cs="Calibri"/>
                <w:lang w:val="en-GB"/>
              </w:rPr>
              <m:t>2</m:t>
            </m:r>
          </m:sup>
        </m:sSup>
      </m:oMath>
      <w:r w:rsidRPr="00B65EF9">
        <w:rPr>
          <w:lang w:val="en-GB"/>
        </w:rPr>
        <w:t xml:space="preserve">, </w:t>
      </w:r>
      <w:r>
        <w:rPr>
          <w:lang w:val="en-GB"/>
        </w:rPr>
        <w:t>we get</w:t>
      </w:r>
    </w:p>
    <w:p w14:paraId="280D4FEB" w14:textId="77777777" w:rsidR="003C0C4F" w:rsidRPr="00B65EF9" w:rsidRDefault="003C0C4F" w:rsidP="003C0C4F">
      <w:pPr>
        <w:spacing w:line="360" w:lineRule="auto"/>
        <w:jc w:val="both"/>
        <w:rPr>
          <w:lang w:val="en-GB"/>
        </w:rPr>
      </w:pPr>
      <m:oMathPara>
        <m:oMath>
          <m:r>
            <w:rPr>
              <w:rFonts w:ascii="Cambria Math" w:hAnsi="Cambria Math" w:cs="Calibri"/>
              <w:lang w:val="en-GB"/>
            </w:rPr>
            <m:t>Var</m:t>
          </m:r>
          <m:d>
            <m:dPr>
              <m:ctrlPr>
                <w:rPr>
                  <w:rFonts w:ascii="Cambria Math" w:hAnsi="Cambria Math" w:cs="Calibri"/>
                  <w:i/>
                  <w:lang w:val="en-GB"/>
                </w:rPr>
              </m:ctrlPr>
            </m:dPr>
            <m:e>
              <m:r>
                <w:rPr>
                  <w:rFonts w:ascii="Cambria Math" w:hAnsi="Cambria Math" w:cs="Calibri"/>
                </w:rPr>
                <m:t>py</m:t>
              </m:r>
              <m:ctrlPr>
                <w:rPr>
                  <w:rFonts w:ascii="Cambria Math" w:hAnsi="Cambria Math" w:cs="Calibri"/>
                  <w:i/>
                </w:rPr>
              </m:ctrlP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oMath>
      </m:oMathPara>
    </w:p>
    <w:p w14:paraId="21BFC1E4" w14:textId="77777777" w:rsidR="003C0C4F" w:rsidRDefault="003C0C4F" w:rsidP="003C0C4F">
      <w:pPr>
        <w:spacing w:line="360" w:lineRule="auto"/>
        <w:jc w:val="both"/>
        <w:rPr>
          <w:lang w:val="en-GB"/>
        </w:rPr>
      </w:pPr>
      <w:r>
        <w:rPr>
          <w:lang w:val="en-GB"/>
        </w:rPr>
        <w:t xml:space="preserve">The final profit variance will then be: </w:t>
      </w:r>
    </w:p>
    <w:p w14:paraId="547E014C" w14:textId="77777777" w:rsidR="003C0C4F" w:rsidRDefault="003C0C4F" w:rsidP="003C0C4F">
      <w:pPr>
        <w:spacing w:line="360" w:lineRule="auto"/>
        <w:jc w:val="both"/>
        <w:rPr>
          <w:lang w:val="en-GB"/>
        </w:rPr>
      </w:pPr>
      <m:oMathPara>
        <m:oMath>
          <m:r>
            <w:rPr>
              <w:rFonts w:ascii="Cambria Math" w:hAnsi="Cambria Math" w:cs="Calibri"/>
            </w:rPr>
            <m:t>Var</m:t>
          </m:r>
          <m:d>
            <m:dPr>
              <m:ctrlPr>
                <w:rPr>
                  <w:rFonts w:ascii="Cambria Math" w:hAnsi="Cambria Math" w:cs="Calibri"/>
                  <w:i/>
                </w:rPr>
              </m:ctrlPr>
            </m:dPr>
            <m:e>
              <m:r>
                <w:rPr>
                  <w:rFonts w:ascii="Cambria Math" w:hAnsi="Cambria Math" w:cs="Calibri"/>
                </w:rPr>
                <m:t>π</m:t>
              </m:r>
            </m:e>
          </m:d>
          <m:r>
            <w:rPr>
              <w:rFonts w:ascii="Cambria Math" w:hAnsi="Cambria Math" w:cs="Calibri"/>
            </w:rPr>
            <m:t>=</m:t>
          </m:r>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p</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y</m:t>
              </m:r>
            </m:sub>
          </m:sSub>
          <m:r>
            <w:rPr>
              <w:rFonts w:ascii="Cambria Math" w:hAnsi="Cambria Math"/>
              <w:lang w:val="en-GB"/>
            </w:rPr>
            <m:t>+</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e>
              </m:d>
            </m:e>
            <m:sup>
              <m:r>
                <w:rPr>
                  <w:rFonts w:ascii="Cambria Math" w:hAnsi="Cambria Math"/>
                  <w:lang w:val="en-GB"/>
                </w:rPr>
                <m:t>2</m:t>
              </m:r>
            </m:sup>
          </m:sSup>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p</m:t>
              </m:r>
            </m:sub>
          </m:sSub>
          <m:r>
            <w:rPr>
              <w:rFonts w:ascii="Cambria Math" w:hAnsi="Cambria Math"/>
              <w:lang w:val="en-GB"/>
            </w:rPr>
            <m:t>+2E</m:t>
          </m:r>
          <m:d>
            <m:dPr>
              <m:ctrlPr>
                <w:rPr>
                  <w:rFonts w:ascii="Cambria Math" w:hAnsi="Cambria Math"/>
                  <w:i/>
                  <w:lang w:val="en-GB"/>
                </w:rPr>
              </m:ctrlPr>
            </m:dPr>
            <m:e>
              <m:r>
                <w:rPr>
                  <w:rFonts w:ascii="Cambria Math" w:hAnsi="Cambria Math"/>
                  <w:lang w:val="en-GB"/>
                </w:rPr>
                <m:t>p</m:t>
              </m:r>
            </m:e>
          </m:d>
          <m:r>
            <w:rPr>
              <w:rFonts w:ascii="Cambria Math" w:hAnsi="Cambria Math"/>
              <w:lang w:val="en-GB"/>
            </w:rPr>
            <m:t>E</m:t>
          </m:r>
          <m:d>
            <m:dPr>
              <m:ctrlPr>
                <w:rPr>
                  <w:rFonts w:ascii="Cambria Math" w:hAnsi="Cambria Math"/>
                  <w:i/>
                  <w:lang w:val="en-GB"/>
                </w:rPr>
              </m:ctrlPr>
            </m:dPr>
            <m:e>
              <m:r>
                <w:rPr>
                  <w:rFonts w:ascii="Cambria Math" w:hAnsi="Cambria Math"/>
                  <w:lang w:val="en-GB"/>
                </w:rPr>
                <m:t>y</m:t>
              </m:r>
            </m:e>
          </m:d>
          <m:r>
            <w:rPr>
              <w:rFonts w:ascii="Cambria Math" w:hAnsi="Cambria Math"/>
              <w:lang w:val="en-GB"/>
            </w:rPr>
            <m:t>Cov</m:t>
          </m:r>
          <m:d>
            <m:dPr>
              <m:ctrlPr>
                <w:rPr>
                  <w:rFonts w:ascii="Cambria Math" w:hAnsi="Cambria Math"/>
                  <w:i/>
                  <w:lang w:val="en-GB"/>
                </w:rPr>
              </m:ctrlPr>
            </m:dPr>
            <m:e>
              <m:r>
                <w:rPr>
                  <w:rFonts w:ascii="Cambria Math" w:hAnsi="Cambria Math"/>
                  <w:lang w:val="en-GB"/>
                </w:rPr>
                <m:t>py</m:t>
              </m:r>
            </m:e>
          </m:d>
          <m:r>
            <w:rPr>
              <w:rFonts w:ascii="Cambria Math" w:hAnsi="Cambria Math"/>
              <w:lang w:val="en-GB"/>
            </w:rPr>
            <m:t>-</m:t>
          </m:r>
          <m:sSub>
            <m:sSubPr>
              <m:ctrlPr>
                <w:rPr>
                  <w:rFonts w:ascii="Cambria Math" w:hAnsi="Cambria Math"/>
                  <w:i/>
                </w:rPr>
              </m:ctrlPr>
            </m:sSubPr>
            <m:e>
              <m:r>
                <w:rPr>
                  <w:rFonts w:ascii="Cambria Math" w:hAnsi="Cambria Math"/>
                </w:rPr>
                <m:t>V</m:t>
              </m:r>
              <m:ctrlPr>
                <w:rPr>
                  <w:rFonts w:ascii="Cambria Math" w:hAnsi="Cambria Math"/>
                  <w:i/>
                  <w:lang w:val="en-GB"/>
                </w:rPr>
              </m:ctrlP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Π</m:t>
              </m:r>
            </m:sub>
          </m:sSub>
          <m:r>
            <w:rPr>
              <w:rFonts w:ascii="Cambria Math" w:hAnsi="Cambria Math"/>
            </w:rPr>
            <m:t>+2Cov</m:t>
          </m:r>
          <m:d>
            <m:dPr>
              <m:ctrlPr>
                <w:rPr>
                  <w:rFonts w:ascii="Cambria Math" w:hAnsi="Cambria Math"/>
                  <w:i/>
                </w:rPr>
              </m:ctrlPr>
            </m:dPr>
            <m:e>
              <m:r>
                <w:rPr>
                  <w:rFonts w:ascii="Cambria Math" w:hAnsi="Cambria Math"/>
                </w:rPr>
                <m:t>s,</m:t>
              </m:r>
              <m:r>
                <m:rPr>
                  <m:sty m:val="p"/>
                </m:rPr>
                <w:rPr>
                  <w:rFonts w:ascii="Cambria Math" w:hAnsi="Cambria Math"/>
                </w:rPr>
                <m:t>Π</m:t>
              </m:r>
            </m:e>
          </m:d>
        </m:oMath>
      </m:oMathPara>
    </w:p>
    <w:p w14:paraId="320C1E1C" w14:textId="77777777" w:rsidR="009114C8" w:rsidRDefault="009114C8" w:rsidP="005B1A69">
      <w:pPr>
        <w:rPr>
          <w:lang w:val="en-GB"/>
        </w:rPr>
      </w:pPr>
    </w:p>
    <w:p w14:paraId="7E3C2E39" w14:textId="77777777" w:rsidR="00D75AA4" w:rsidRDefault="00D75AA4" w:rsidP="005B1A69">
      <w:pPr>
        <w:rPr>
          <w:lang w:val="en-GB"/>
        </w:rPr>
      </w:pPr>
    </w:p>
    <w:p w14:paraId="001CCEC3" w14:textId="77777777" w:rsidR="00D75AA4" w:rsidRDefault="00D75AA4" w:rsidP="005B1A69">
      <w:pPr>
        <w:rPr>
          <w:lang w:val="en-GB"/>
        </w:rPr>
      </w:pPr>
    </w:p>
    <w:p w14:paraId="3B01F430" w14:textId="77777777" w:rsidR="00D75AA4" w:rsidRPr="00000C6D" w:rsidRDefault="00D75AA4" w:rsidP="00D75AA4">
      <w:pPr>
        <w:pStyle w:val="CommentText"/>
        <w:rPr>
          <w:lang w:val="en-GB"/>
        </w:rPr>
      </w:pPr>
      <w:r>
        <w:t>T</w:t>
      </w:r>
      <w:r>
        <w:rPr>
          <w:lang w:val="en-GB"/>
        </w:rPr>
        <w:t>he time serie has irregular time gaps. I devised a strategy to solve this:</w:t>
      </w:r>
    </w:p>
    <w:p w14:paraId="5501AA68" w14:textId="77777777" w:rsidR="00D75AA4" w:rsidRDefault="00D75AA4" w:rsidP="00D75AA4">
      <w:pPr>
        <w:pStyle w:val="CommentText"/>
      </w:pPr>
    </w:p>
    <w:p w14:paraId="3BF330DF" w14:textId="77777777" w:rsidR="00D75AA4" w:rsidRPr="00000C6D" w:rsidRDefault="00D75AA4" w:rsidP="00D75AA4">
      <w:pPr>
        <w:pStyle w:val="CommentText"/>
        <w:rPr>
          <w:lang w:val="en-GB"/>
        </w:rPr>
      </w:pPr>
      <w:r>
        <w:t>Original wheat prices consist of weekly observations for the period 2000-2025, while fertilizer prices are reported for the 1</w:t>
      </w:r>
      <w:r w:rsidRPr="00AE0071">
        <w:rPr>
          <w:vertAlign w:val="superscript"/>
        </w:rPr>
        <w:t>st</w:t>
      </w:r>
      <w:r>
        <w:t xml:space="preserve"> and 3</w:t>
      </w:r>
      <w:r w:rsidRPr="00AE0071">
        <w:rPr>
          <w:vertAlign w:val="superscript"/>
        </w:rPr>
        <w:t>rd</w:t>
      </w:r>
      <w:r>
        <w:t xml:space="preserve"> Monday of the month. This generates bi-weekly observations with occasionally 3-week gaps, covering the period 2007-2025. We thus apply a resampling procedure to address the irregular temporal spacing. First, we identify the optimal time interval by minimizing the distance between the original dates and a theoretical evenly-spaced grid. This yielded and optimal interval of approximately 15 days, which balances the typical 14 day gaps and the occasionally 21 day gaps. We then generate a 15-day date grid and assign each grid point, the fertilizer </w:t>
      </w:r>
      <w:r>
        <w:lastRenderedPageBreak/>
        <w:t xml:space="preserve">price from the nearest original observation if it falls </w:t>
      </w:r>
      <m:oMath>
        <m:r>
          <w:rPr>
            <w:rFonts w:ascii="Cambria Math" w:hAnsi="Cambria Math"/>
          </w:rPr>
          <m:t>±</m:t>
        </m:r>
      </m:oMath>
      <w:r>
        <w:t xml:space="preserve"> 7 days. We apply the same process to wheat prices, but using a weekly interval (</w:t>
      </w:r>
      <m:oMath>
        <m:r>
          <w:rPr>
            <w:rFonts w:ascii="Cambria Math" w:hAnsi="Cambria Math"/>
          </w:rPr>
          <m:t>±</m:t>
        </m:r>
      </m:oMath>
      <w:r>
        <w:t xml:space="preserve"> 3.5 days), given the higher temporal resolution. For grid points without corresponding observations within the thresholds, we linearly interpolate the values. This procedure resulted in a consistently-spaced time series suitable for temporal analysis.</w:t>
      </w:r>
    </w:p>
    <w:p w14:paraId="3BBF7540" w14:textId="77777777" w:rsidR="00D75AA4" w:rsidRPr="009114C8" w:rsidRDefault="00D75AA4" w:rsidP="005B1A69">
      <w:pPr>
        <w:rPr>
          <w:lang w:val="en-GB"/>
        </w:rPr>
      </w:pPr>
    </w:p>
    <w:sectPr w:rsidR="00D75AA4" w:rsidRPr="009114C8" w:rsidSect="008757BE">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09:07:00Z" w:initials="TD">
    <w:p w14:paraId="20840CD8" w14:textId="77777777" w:rsidR="003B50D0" w:rsidRPr="006C34FC" w:rsidRDefault="003B50D0" w:rsidP="003B50D0">
      <w:pPr>
        <w:pStyle w:val="CommentText"/>
        <w:rPr>
          <w:lang w:val="en-GB"/>
        </w:rPr>
      </w:pPr>
      <w:r>
        <w:rPr>
          <w:rStyle w:val="CommentReference"/>
        </w:rPr>
        <w:annotationRef/>
      </w:r>
      <w:r>
        <w:t>Sentence not clear to me</w:t>
      </w:r>
    </w:p>
  </w:comment>
  <w:comment w:id="1" w:author="Tobias Dalhaus" w:date="2025-06-18T09:10:00Z" w:initials="TD">
    <w:p w14:paraId="04ED701F" w14:textId="77777777" w:rsidR="003B50D0" w:rsidRPr="006C34FC" w:rsidRDefault="003B50D0" w:rsidP="003B50D0">
      <w:pPr>
        <w:pStyle w:val="CommentText"/>
        <w:rPr>
          <w:lang w:val="en-GB"/>
        </w:rPr>
      </w:pPr>
      <w:r>
        <w:rPr>
          <w:rStyle w:val="CommentReference"/>
        </w:rPr>
        <w:annotationRef/>
      </w:r>
      <w:r>
        <w:t>Not sure we need these two sentences</w:t>
      </w:r>
    </w:p>
  </w:comment>
  <w:comment w:id="3" w:author="Meuwissen, Miranda" w:date="2024-07-18T09:48:00Z" w:initials="MM">
    <w:p w14:paraId="2AEF3517" w14:textId="77777777" w:rsidR="008844A8" w:rsidRDefault="008844A8" w:rsidP="008844A8">
      <w:pPr>
        <w:pStyle w:val="CommentText"/>
      </w:pPr>
      <w:r>
        <w:rPr>
          <w:rStyle w:val="CommentReference"/>
        </w:rPr>
        <w:annotationRef/>
      </w:r>
      <w:r>
        <w:rPr>
          <w:lang w:val="en-GB"/>
        </w:rPr>
        <w:t xml:space="preserve">The tools might also be relevant for livestock and greenhouse farmers. Can we make the illustration more generic? </w:t>
      </w:r>
    </w:p>
  </w:comment>
  <w:comment w:id="4" w:author="Spada, Riccardo" w:date="2025-09-04T16:12:00Z" w:initials="SR">
    <w:p w14:paraId="4BA66855" w14:textId="77777777" w:rsidR="006379AA" w:rsidRPr="000C1315" w:rsidRDefault="006379AA" w:rsidP="006379AA">
      <w:pPr>
        <w:pStyle w:val="CommentText"/>
        <w:rPr>
          <w:lang w:val="en-GB"/>
        </w:rPr>
      </w:pPr>
      <w:r>
        <w:rPr>
          <w:rStyle w:val="CommentReference"/>
        </w:rPr>
        <w:annotationRef/>
      </w:r>
      <w:r>
        <w:rPr>
          <w:lang w:val="en-GB"/>
        </w:rPr>
        <w:t xml:space="preserve">Might need </w:t>
      </w:r>
      <w:r w:rsidRPr="000C1315">
        <w:rPr>
          <w:lang w:val="en-GB"/>
        </w:rPr>
        <w:t xml:space="preserve">to </w:t>
      </w:r>
      <w:r>
        <w:rPr>
          <w:lang w:val="en-GB"/>
        </w:rPr>
        <w:t xml:space="preserve">use a stochastic volatility </w:t>
      </w:r>
      <w:r w:rsidRPr="006157D3">
        <w:rPr>
          <w:lang w:val="en-GB"/>
        </w:rPr>
        <w:t>with jumps</w:t>
      </w:r>
      <w:r>
        <w:rPr>
          <w:lang w:val="en-GB"/>
        </w:rPr>
        <w:t xml:space="preserve"> model </w:t>
      </w:r>
      <w:r w:rsidRPr="000C1315">
        <w:rPr>
          <w:lang w:val="en-GB"/>
        </w:rPr>
        <w:t xml:space="preserve">to reflect shocks during crisis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840CD8" w15:done="0"/>
  <w15:commentEx w15:paraId="04ED701F" w15:done="0"/>
  <w15:commentEx w15:paraId="2AEF3517" w15:done="0"/>
  <w15:commentEx w15:paraId="4BA668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554F0F3" w16cex:dateUtc="2025-06-18T07:07:00Z"/>
  <w16cex:commentExtensible w16cex:durableId="7FA14C56" w16cex:dateUtc="2025-06-18T07:10:00Z"/>
  <w16cex:commentExtensible w16cex:durableId="2A436379" w16cex:dateUtc="2024-07-18T07:48:00Z"/>
  <w16cex:commentExtensible w16cex:durableId="2C643906" w16cex:dateUtc="2025-09-0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840CD8" w16cid:durableId="3554F0F3"/>
  <w16cid:commentId w16cid:paraId="04ED701F" w16cid:durableId="7FA14C56"/>
  <w16cid:commentId w16cid:paraId="2AEF3517" w16cid:durableId="2A436379"/>
  <w16cid:commentId w16cid:paraId="4BA66855" w16cid:durableId="2C6439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0ACA3" w14:textId="77777777" w:rsidR="005B05B8" w:rsidRDefault="005B05B8" w:rsidP="00DC2D06">
      <w:r>
        <w:separator/>
      </w:r>
    </w:p>
  </w:endnote>
  <w:endnote w:type="continuationSeparator" w:id="0">
    <w:p w14:paraId="678BB440" w14:textId="77777777" w:rsidR="005B05B8" w:rsidRDefault="005B05B8" w:rsidP="00DC2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ews Gothic">
    <w:altName w:val="Calibri"/>
    <w:charset w:val="00"/>
    <w:family w:val="swiss"/>
    <w:pitch w:val="variable"/>
    <w:sig w:usb0="00000083" w:usb1="00000000" w:usb2="00000000" w:usb3="00000000" w:csb0="00000009"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C3099" w14:textId="77777777" w:rsidR="005B05B8" w:rsidRDefault="005B05B8" w:rsidP="00DC2D06">
      <w:r>
        <w:separator/>
      </w:r>
    </w:p>
  </w:footnote>
  <w:footnote w:type="continuationSeparator" w:id="0">
    <w:p w14:paraId="2D1B68B6" w14:textId="77777777" w:rsidR="005B05B8" w:rsidRDefault="005B05B8" w:rsidP="00DC2D06">
      <w:r>
        <w:continuationSeparator/>
      </w:r>
    </w:p>
  </w:footnote>
  <w:footnote w:id="1">
    <w:p w14:paraId="6A0D9494" w14:textId="77777777" w:rsidR="00306FF7" w:rsidRPr="00957313" w:rsidRDefault="00306FF7" w:rsidP="00306FF7">
      <w:pPr>
        <w:pStyle w:val="FootnoteText"/>
        <w:rPr>
          <w:lang w:val="en-US"/>
        </w:rPr>
      </w:pPr>
      <w:r w:rsidRPr="00327C48">
        <w:rPr>
          <w:rStyle w:val="FootnoteReference"/>
          <w:rFonts w:eastAsiaTheme="majorEastAsia"/>
        </w:rPr>
        <w:footnoteRef/>
      </w:r>
      <w:r w:rsidRPr="00226F25">
        <w:rPr>
          <w:lang w:val="en-US"/>
        </w:rPr>
        <w:t xml:space="preserve"> </w:t>
      </w:r>
      <w:r w:rsidRPr="003B768B">
        <w:rPr>
          <w:sz w:val="18"/>
          <w:szCs w:val="18"/>
          <w:lang w:val="en-US"/>
        </w:rPr>
        <w:t>i.e.</w:t>
      </w:r>
      <w:r>
        <w:rPr>
          <w:sz w:val="18"/>
          <w:szCs w:val="18"/>
          <w:lang w:val="en-US"/>
        </w:rPr>
        <w:t>,</w:t>
      </w:r>
      <w:r w:rsidRPr="003B768B">
        <w:rPr>
          <w:sz w:val="18"/>
          <w:szCs w:val="18"/>
          <w:lang w:val="en-US"/>
        </w:rPr>
        <w:t xml:space="preserve"> either an insurance layer (a specific range of losses that an insurance policy is designed to cover) or a stop-loss insurance protect</w:t>
      </w:r>
      <w:r>
        <w:rPr>
          <w:sz w:val="18"/>
          <w:szCs w:val="18"/>
          <w:lang w:val="en-US"/>
        </w:rPr>
        <w:t>s</w:t>
      </w:r>
      <w:r w:rsidRPr="003B768B">
        <w:rPr>
          <w:sz w:val="18"/>
          <w:szCs w:val="18"/>
          <w:lang w:val="en-US"/>
        </w:rPr>
        <w:t xml:space="preserve"> against excessive losses by limiting the total amount the policyholder must pay out. </w:t>
      </w:r>
    </w:p>
  </w:footnote>
  <w:footnote w:id="2">
    <w:p w14:paraId="54551252" w14:textId="77777777" w:rsidR="009347AD" w:rsidRPr="00783021" w:rsidRDefault="009347AD" w:rsidP="009347AD">
      <w:pPr>
        <w:pStyle w:val="FootnoteText"/>
        <w:rPr>
          <w:sz w:val="18"/>
          <w:szCs w:val="18"/>
          <w:lang w:val="en-GB"/>
        </w:rPr>
      </w:pPr>
      <w:r w:rsidRPr="00327C48">
        <w:rPr>
          <w:rStyle w:val="FootnoteReference"/>
        </w:rPr>
        <w:footnoteRef/>
      </w:r>
      <w:r w:rsidRPr="00306FF7">
        <w:rPr>
          <w:sz w:val="18"/>
          <w:szCs w:val="18"/>
          <w:lang w:val="en-GB"/>
        </w:rPr>
        <w:t xml:space="preserve"> We do not specify other contract parameters like quantity, delivery, and settlement date, as they can be flexibly arranged for both spot and forward purchases. </w:t>
      </w:r>
    </w:p>
  </w:footnote>
  <w:footnote w:id="3">
    <w:p w14:paraId="45CF7541" w14:textId="77777777" w:rsidR="00DC7523" w:rsidRPr="00072D32" w:rsidRDefault="00DC7523" w:rsidP="00DC7523">
      <w:pPr>
        <w:pStyle w:val="FootnoteText"/>
        <w:jc w:val="both"/>
        <w:rPr>
          <w:lang w:val="en-GB"/>
        </w:rPr>
      </w:pPr>
      <w:r w:rsidRPr="00327C48">
        <w:rPr>
          <w:rStyle w:val="FootnoteReference"/>
        </w:rPr>
        <w:footnoteRef/>
      </w:r>
      <w:r w:rsidRPr="00072D32">
        <w:rPr>
          <w:lang w:val="en-GB"/>
        </w:rPr>
        <w:t xml:space="preserve"> </w:t>
      </w:r>
      <w:r>
        <w:rPr>
          <w:lang w:val="en-GB"/>
        </w:rPr>
        <w:t xml:space="preserve">The second-order models assessed in </w:t>
      </w:r>
      <w:r w:rsidRPr="00EF5173">
        <w:rPr>
          <w:sz w:val="18"/>
          <w:szCs w:val="18"/>
          <w:lang w:val="en-GB"/>
        </w:rPr>
        <w:fldChar w:fldCharType="begin"/>
      </w:r>
      <w:r>
        <w:rPr>
          <w:sz w:val="18"/>
          <w:szCs w:val="18"/>
          <w:lang w:val="en-GB"/>
        </w:rPr>
        <w:instrText xml:space="preserve"> ADDIN ZOTERO_ITEM CSL_CITATION {"citationID":"nA9QPprR","properties":{"formattedCitation":"(Conte &amp; Hey, 2013)","plainCitation":"(Conte &amp; Hey, 2013)","dontUpdate":true,"noteIndex":1},"citationItems":[{"id":127007,"uris":["http://zotero.org/users/14812719/items/BJZ2ZZFW"],"itemData":{"id":127007,"type":"article-journal","abstract":"The recent spate of theoretical models of behaviour under ambiguity can be partitioned into two sets: those involving multiple priors and those not involving multiple priors. This paper provides an experimental investigation into the first set. Using an appropriate experimental interface we examine the fitted and predictive power of the various theories. We first estimate subject-by-subject, and then estimate and predict using a mixture model over the contending theories. The individual estimates suggest that 24% of our 149 subjects have behaviour consistent with Expected Utility, 56% with the Smooth Model, 11% with Rank Dependent Expected Utility and 9% with the Alpha Model; these figures are close to the mixing proportions obtained from the mixture estimates where the respective posterior probabilities of each of them being of the various types are 25%, 50%, 20% and 5%; and using the predictions 22%, 53%, 22% and 3%. The Smooth model appears the best.","container-title":"Journal of Risk and Uncertainty","DOI":"10.1007/s11166-013-9164-x","ISSN":"1573-0476","issue":"2","journalAbbreviation":"J Risk Uncertain","language":"en","page":"113-132","source":"Springer Link","title":"Assessing multiple prior models of behaviour under ambiguity","volume":"46","author":[{"family":"Conte","given":"Anna"},{"family":"Hey","given":"John D."}],"issued":{"date-parts":[["2013",4,1]]}}}],"schema":"https://github.com/citation-style-language/schema/raw/master/csl-citation.json"} </w:instrText>
      </w:r>
      <w:r w:rsidRPr="00EF5173">
        <w:rPr>
          <w:sz w:val="18"/>
          <w:szCs w:val="18"/>
          <w:lang w:val="en-GB"/>
        </w:rPr>
        <w:fldChar w:fldCharType="separate"/>
      </w:r>
      <w:r w:rsidRPr="00EF5173">
        <w:rPr>
          <w:sz w:val="18"/>
          <w:szCs w:val="18"/>
          <w:lang w:val="en-GB"/>
        </w:rPr>
        <w:t>Conte &amp; Hey (2013)</w:t>
      </w:r>
      <w:r w:rsidRPr="00EF5173">
        <w:rPr>
          <w:sz w:val="18"/>
          <w:szCs w:val="18"/>
          <w:lang w:val="en-GB"/>
        </w:rPr>
        <w:fldChar w:fldCharType="end"/>
      </w:r>
      <w:r>
        <w:rPr>
          <w:sz w:val="18"/>
          <w:szCs w:val="18"/>
          <w:lang w:val="en-GB"/>
        </w:rPr>
        <w:t xml:space="preserve"> include</w:t>
      </w:r>
      <w:r w:rsidRPr="00EF5173">
        <w:rPr>
          <w:sz w:val="18"/>
          <w:szCs w:val="18"/>
          <w:lang w:val="en-GB"/>
        </w:rPr>
        <w:t xml:space="preserve">: EUT with compounded probabilities; the Smooth Ambiguity Model of </w:t>
      </w:r>
      <w:r>
        <w:rPr>
          <w:sz w:val="18"/>
          <w:szCs w:val="18"/>
          <w:lang w:val="en-GB"/>
        </w:rPr>
        <w:fldChar w:fldCharType="begin"/>
      </w:r>
      <w:r>
        <w:rPr>
          <w:sz w:val="18"/>
          <w:szCs w:val="18"/>
          <w:lang w:val="en-GB"/>
        </w:rPr>
        <w:instrText xml:space="preserve"> ADDIN ZOTERO_ITEM CSL_CITATION {"citationID":"7GfjQb43","properties":{"formattedCitation":"(Klibanoff et al., 2005)","plainCitation":"(Klibanoff et al., 2005)","dontUpdate":true,"noteIndex":1},"citationItems":[{"id":126994,"uris":["http://zotero.org/users/14812719/items/R6ZKHIJI"],"itemData":{"id":126994,"type":"article-journal","abstract":"We propose and characterize a model of preferences over acts such that the decision maker prefers act f to act g if and only if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u○f) </w:instrText>
      </w:r>
      <w:r>
        <w:rPr>
          <w:rFonts w:ascii="Cambria Math" w:hAnsi="Cambria Math" w:cs="Cambria Math"/>
          <w:sz w:val="18"/>
          <w:szCs w:val="18"/>
          <w:lang w:val="en-GB"/>
        </w:rPr>
        <w:instrText>𝔼</w:instrText>
      </w:r>
      <w:r>
        <w:rPr>
          <w:rFonts w:hint="eastAsia"/>
          <w:sz w:val="18"/>
          <w:szCs w:val="18"/>
          <w:lang w:val="en-GB"/>
        </w:rPr>
        <w:instrText>μφ</w:instrText>
      </w:r>
      <w:r>
        <w:rPr>
          <w:sz w:val="18"/>
          <w:szCs w:val="18"/>
          <w:lang w:val="en-GB"/>
        </w:rPr>
        <w:instrText>(</w:instrText>
      </w:r>
      <w:r>
        <w:rPr>
          <w:rFonts w:ascii="Cambria Math" w:hAnsi="Cambria Math" w:cs="Cambria Math"/>
          <w:sz w:val="18"/>
          <w:szCs w:val="18"/>
          <w:lang w:val="en-GB"/>
        </w:rPr>
        <w:instrText>𝔼</w:instrText>
      </w:r>
      <w:r>
        <w:rPr>
          <w:rFonts w:hint="eastAsia"/>
          <w:sz w:val="18"/>
          <w:szCs w:val="18"/>
          <w:lang w:val="en-GB"/>
        </w:rPr>
        <w:instrText>π</w:instrText>
      </w:r>
      <w:r>
        <w:rPr>
          <w:sz w:val="18"/>
          <w:szCs w:val="18"/>
          <w:lang w:val="en-GB"/>
        </w:rPr>
        <w:instrText xml:space="preserve">u○g), where </w:instrText>
      </w:r>
      <w:r>
        <w:rPr>
          <w:rFonts w:ascii="Cambria Math" w:hAnsi="Cambria Math" w:cs="Cambria Math"/>
          <w:sz w:val="18"/>
          <w:szCs w:val="18"/>
          <w:lang w:val="en-GB"/>
        </w:rPr>
        <w:instrText>𝔼</w:instrText>
      </w:r>
      <w:r>
        <w:rPr>
          <w:sz w:val="18"/>
          <w:szCs w:val="18"/>
          <w:lang w:val="en-GB"/>
        </w:rPr>
        <w:instrText xml:space="preserve"> is the expectation operator, u is a von Neumann–Morgenstern utility function, </w:instrText>
      </w:r>
      <w:r>
        <w:rPr>
          <w:rFonts w:hint="eastAsia"/>
          <w:sz w:val="18"/>
          <w:szCs w:val="18"/>
          <w:lang w:val="en-GB"/>
        </w:rPr>
        <w:instrText>φ</w:instrText>
      </w:r>
      <w:r>
        <w:rPr>
          <w:sz w:val="18"/>
          <w:szCs w:val="18"/>
          <w:lang w:val="en-GB"/>
        </w:rPr>
        <w:instrText xml:space="preserve">is an increasing transformation, and </w:instrText>
      </w:r>
      <w:r>
        <w:rPr>
          <w:rFonts w:hint="eastAsia"/>
          <w:sz w:val="18"/>
          <w:szCs w:val="18"/>
          <w:lang w:val="en-GB"/>
        </w:rPr>
        <w:instrText>μ</w:instrText>
      </w:r>
      <w:r>
        <w:rPr>
          <w:sz w:val="18"/>
          <w:szCs w:val="18"/>
          <w:lang w:val="en-GB"/>
        </w:rPr>
        <w:instrText xml:space="preserve">is a subjective probability over the set </w:instrText>
      </w:r>
      <w:r>
        <w:rPr>
          <w:rFonts w:hint="eastAsia"/>
          <w:sz w:val="18"/>
          <w:szCs w:val="18"/>
          <w:lang w:val="en-GB"/>
        </w:rPr>
        <w:instrText>Π</w:instrText>
      </w:r>
      <w:r>
        <w:rPr>
          <w:sz w:val="18"/>
          <w:szCs w:val="18"/>
          <w:lang w:val="en-GB"/>
        </w:rPr>
        <w:instrText xml:space="preserve">of probability measures </w:instrText>
      </w:r>
      <w:r>
        <w:rPr>
          <w:rFonts w:hint="eastAsia"/>
          <w:sz w:val="18"/>
          <w:szCs w:val="18"/>
          <w:lang w:val="en-GB"/>
        </w:rPr>
        <w:instrText>π</w:instrText>
      </w:r>
      <w:r>
        <w:rPr>
          <w:sz w:val="18"/>
          <w:szCs w:val="18"/>
          <w:lang w:val="en-GB"/>
        </w:rPr>
        <w:instrText xml:space="preserve">that the decision maker thinks are relevant given his subjective information. A key feature of our model is that it achieves a separation between ambiguity, identified as a characteristic of the decision maker's subjective beliefs, and ambiguity attitude, a characteristic of the decision maker's tastes. We show that attitudes toward pure risk are characterized by the shape of u, as usual, while attitudes toward ambiguity are characterized by the shape of </w:instrText>
      </w:r>
      <w:r>
        <w:rPr>
          <w:rFonts w:hint="eastAsia"/>
          <w:sz w:val="18"/>
          <w:szCs w:val="18"/>
          <w:lang w:val="en-GB"/>
        </w:rPr>
        <w:instrText>φ</w:instrText>
      </w:r>
      <w:r>
        <w:rPr>
          <w:sz w:val="18"/>
          <w:szCs w:val="18"/>
          <w:lang w:val="en-GB"/>
        </w:rPr>
        <w:instrText xml:space="preserve">. Ambiguity itself is defined behaviorally and is shown to be characterized by properties of the subjective set of measures </w:instrText>
      </w:r>
      <w:r>
        <w:rPr>
          <w:rFonts w:hint="eastAsia"/>
          <w:sz w:val="18"/>
          <w:szCs w:val="18"/>
          <w:lang w:val="en-GB"/>
        </w:rPr>
        <w:instrText>Π</w:instrText>
      </w:r>
      <w:r>
        <w:rPr>
          <w:sz w:val="18"/>
          <w:szCs w:val="18"/>
          <w:lang w:val="en-GB"/>
        </w:rPr>
        <w:instrText xml:space="preserve">. One advantage of this model is that the well-developed machinery for dealing with risk attitudes can be applied as well to ambiguity attitudes. The model is also distinct from many in the literature on ambiguity in that it allows smooth, rather than kinked, indifference curves. This leads to different behavior and improved tractability, while still sharing the main features (e.g., Ellsberg's paradox). The maxmin expected utility model (e.g., Gilboa and Schmeidler (1989)) with a given set of measures may be seen as a limiting case of our model with infinite ambiguity aversion. Two illustrative portfolio choice examples are offered.","container-title":"Econometrica","DOI":"10.1111/j.1468-0262.2005.00640.x","ISSN":"1468-0262","issue":"6","language":"en","note":"_eprint: https://onlinelibrary.wiley.com/doi/pdf/10.1111/j.1468-0262.2005.00640.x","page":"1849-1892","source":"Wiley Online Library","title":"A Smooth Model of Decision Making under Ambiguity","volume":"73","author":[{"family":"Klibanoff","given":"Peter"},{"family":"Marinacci","given":"Massimo"},{"family":"Mukerji","given":"Sujoy"}],"issued":{"date-parts":[["2005"]]}}}],"schema":"https://github.com/citation-style-language/schema/raw/master/csl-citation.json"} </w:instrText>
      </w:r>
      <w:r>
        <w:rPr>
          <w:sz w:val="18"/>
          <w:szCs w:val="18"/>
          <w:lang w:val="en-GB"/>
        </w:rPr>
        <w:fldChar w:fldCharType="separate"/>
      </w:r>
      <w:r w:rsidRPr="009B6C30">
        <w:rPr>
          <w:sz w:val="18"/>
          <w:lang w:val="en-GB"/>
        </w:rPr>
        <w:t xml:space="preserve">Klibanoff et al. </w:t>
      </w:r>
      <w:r>
        <w:rPr>
          <w:sz w:val="18"/>
          <w:lang w:val="en-GB"/>
        </w:rPr>
        <w:t>(</w:t>
      </w:r>
      <w:r w:rsidRPr="009B6C30">
        <w:rPr>
          <w:sz w:val="18"/>
          <w:lang w:val="en-GB"/>
        </w:rPr>
        <w:t>2005)</w:t>
      </w:r>
      <w:r>
        <w:rPr>
          <w:sz w:val="18"/>
          <w:szCs w:val="18"/>
          <w:lang w:val="en-GB"/>
        </w:rPr>
        <w:fldChar w:fldCharType="end"/>
      </w:r>
      <w:r w:rsidRPr="00EF5173">
        <w:rPr>
          <w:sz w:val="18"/>
          <w:szCs w:val="18"/>
          <w:lang w:val="en-GB"/>
        </w:rPr>
        <w:t xml:space="preserve">; the Rank Dependent EU model </w:t>
      </w:r>
      <w:r>
        <w:rPr>
          <w:sz w:val="18"/>
          <w:szCs w:val="18"/>
          <w:lang w:val="en-GB"/>
        </w:rPr>
        <w:t>of</w:t>
      </w:r>
      <w:r w:rsidRPr="00EF5173">
        <w:rPr>
          <w:sz w:val="18"/>
          <w:szCs w:val="18"/>
          <w:lang w:val="en-GB"/>
        </w:rPr>
        <w:t xml:space="preserve"> </w:t>
      </w:r>
      <w:r>
        <w:rPr>
          <w:sz w:val="18"/>
          <w:szCs w:val="18"/>
          <w:lang w:val="en-GB"/>
        </w:rPr>
        <w:fldChar w:fldCharType="begin"/>
      </w:r>
      <w:r>
        <w:rPr>
          <w:sz w:val="18"/>
          <w:szCs w:val="18"/>
          <w:lang w:val="en-GB"/>
        </w:rPr>
        <w:instrText xml:space="preserve"> ADDIN ZOTERO_ITEM CSL_CITATION {"citationID":"MM6HrwGu","properties":{"formattedCitation":"(Quiggin, 1982)","plainCitation":"(Quiggin, 1982)","dontUpdate":true,"noteIndex":1},"citationItems":[{"id":126890,"uris":["http://zotero.org/groups/5657987/items/Q6CZ49PF"],"itemData":{"id":126890,"type":"article-journal","container-title":"Journal of Economic Behavior &amp; Organization","DOI":"10.1016/0167-2681(82)90008-7","ISSN":"01672681","issue":"4","journalAbbreviation":"Journal of Economic Behavior &amp; Organization","language":"en","license":"https://www.elsevier.com/tdm/userlicense/1.0/","page":"323-343","source":"DOI.org (Crossref)","title":"A theory of anticipated utility","volume":"3","author":[{"family":"Quiggin","given":"John"}],"issued":{"date-parts":[["1982",12]]}}}],"schema":"https://github.com/citation-style-language/schema/raw/master/csl-citation.json"} </w:instrText>
      </w:r>
      <w:r>
        <w:rPr>
          <w:sz w:val="18"/>
          <w:szCs w:val="18"/>
          <w:lang w:val="en-GB"/>
        </w:rPr>
        <w:fldChar w:fldCharType="separate"/>
      </w:r>
      <w:r w:rsidRPr="009B6C30">
        <w:rPr>
          <w:sz w:val="18"/>
          <w:lang w:val="en-GB"/>
        </w:rPr>
        <w:t xml:space="preserve">Quiggin </w:t>
      </w:r>
      <w:r>
        <w:rPr>
          <w:sz w:val="18"/>
          <w:lang w:val="en-GB"/>
        </w:rPr>
        <w:t>(</w:t>
      </w:r>
      <w:r w:rsidRPr="009B6C30">
        <w:rPr>
          <w:sz w:val="18"/>
          <w:lang w:val="en-GB"/>
        </w:rPr>
        <w:t>1982)</w:t>
      </w:r>
      <w:r>
        <w:rPr>
          <w:sz w:val="18"/>
          <w:szCs w:val="18"/>
          <w:lang w:val="en-GB"/>
        </w:rPr>
        <w:fldChar w:fldCharType="end"/>
      </w:r>
      <w:r>
        <w:rPr>
          <w:sz w:val="18"/>
          <w:szCs w:val="18"/>
          <w:lang w:val="en-GB"/>
        </w:rPr>
        <w:t>;</w:t>
      </w:r>
      <w:r w:rsidRPr="00EF5173">
        <w:rPr>
          <w:sz w:val="18"/>
          <w:szCs w:val="18"/>
          <w:lang w:val="en-GB"/>
        </w:rPr>
        <w:t xml:space="preserve"> and the Alpha EU model of </w:t>
      </w:r>
      <w:r>
        <w:rPr>
          <w:sz w:val="18"/>
          <w:szCs w:val="18"/>
          <w:lang w:val="en-GB"/>
        </w:rPr>
        <w:fldChar w:fldCharType="begin"/>
      </w:r>
      <w:r>
        <w:rPr>
          <w:sz w:val="18"/>
          <w:szCs w:val="18"/>
          <w:lang w:val="en-GB"/>
        </w:rPr>
        <w:instrText xml:space="preserve"> ADDIN ZOTERO_ITEM CSL_CITATION {"citationID":"78UBkbyG","properties":{"formattedCitation":"(Ghirardato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non second-order models assessed in </w:t>
      </w:r>
      <w:r>
        <w:rPr>
          <w:sz w:val="18"/>
          <w:szCs w:val="18"/>
          <w:lang w:val="en-GB"/>
        </w:rPr>
        <w:fldChar w:fldCharType="begin"/>
      </w:r>
      <w:r>
        <w:rPr>
          <w:sz w:val="18"/>
          <w:szCs w:val="18"/>
          <w:lang w:val="en-GB"/>
        </w:rPr>
        <w:instrText xml:space="preserve"> ADDIN ZOTERO_ITEM CSL_CITATION {"citationID":"muPSP4FU","properties":{"formattedCitation":"(Hey &amp; Pace, 2014)","plainCitation":"(Hey &amp; Pace, 2014)","noteIndex":1},"citationItems":[{"id":127005,"uris":["http://zotero.org/users/14812719/items/G4HZRCCZ"],"itemData":{"id":127005,"type":"article-journal","abstract":"Representing ambiguity in the laboratory using a Bingo Blower (which is transparent and not manipulable) and asking the subjects a series of allocation questions, we obtain data from which we can estimate by maximum likelihood methods (with explicit assumptions about the errors made by the subjects) a significant subset of particular parameterisations of the empirically relevant models of behaviour under ambiguity, and compare their relative explanatory and predictive abilities. Our results suggest that not all recent models of behaviour represent a major improvement in explanatory and predictive power, particularly the more theoretically sophisticated ones.","container-title":"Journal of Risk and Uncertainty","DOI":"10.1007/s11166-014-9198-8","ISSN":"1573-0476","issue":"1","journalAbbreviation":"J Risk Uncertain","language":"en","page":"1-29","source":"Springer Link","title":"The explanatory and predictive power of non two-stage-probability theories of decision making under ambiguity","volume":"49","author":[{"family":"Hey","given":"John D."},{"family":"Pace","given":"Noemi"}],"issued":{"date-parts":[["2014",8,1]]}}}],"schema":"https://github.com/citation-style-language/schema/raw/master/csl-citation.json"} </w:instrText>
      </w:r>
      <w:r>
        <w:rPr>
          <w:sz w:val="18"/>
          <w:szCs w:val="18"/>
          <w:lang w:val="en-GB"/>
        </w:rPr>
        <w:fldChar w:fldCharType="separate"/>
      </w:r>
      <w:r w:rsidRPr="00D87383">
        <w:rPr>
          <w:sz w:val="18"/>
          <w:lang w:val="en-GB"/>
        </w:rPr>
        <w:t>(Hey &amp; Pace, 2014)</w:t>
      </w:r>
      <w:r>
        <w:rPr>
          <w:sz w:val="18"/>
          <w:szCs w:val="18"/>
          <w:lang w:val="en-GB"/>
        </w:rPr>
        <w:fldChar w:fldCharType="end"/>
      </w:r>
      <w:r>
        <w:rPr>
          <w:sz w:val="18"/>
          <w:szCs w:val="18"/>
          <w:lang w:val="en-GB"/>
        </w:rPr>
        <w:t xml:space="preserve"> include: the Subjective EU model </w:t>
      </w:r>
      <w:r>
        <w:rPr>
          <w:sz w:val="18"/>
          <w:szCs w:val="18"/>
          <w:lang w:val="en-GB"/>
        </w:rPr>
        <w:fldChar w:fldCharType="begin"/>
      </w:r>
      <w:r>
        <w:rPr>
          <w:sz w:val="18"/>
          <w:szCs w:val="18"/>
          <w:lang w:val="en-GB"/>
        </w:rPr>
        <w:instrText xml:space="preserve"> ADDIN ZOTERO_ITEM CSL_CITATION {"citationID":"JCmCPV3M","properties":{"formattedCitation":"(Savage, 1954)","plainCitation":"(Savage, 1954)","noteIndex":1},"citationItems":[{"id":126885,"uris":["http://zotero.org/groups/5657987/items/VBJB9EDZ"],"itemData":{"id":126885,"type":"book","event-place":"New York","publisher":"Wiley","publisher-place":"New York","title":"The Foundations of Statistics","author":[{"family":"Savage","given":"L."}],"issued":{"date-parts":[["1954"]]}}}],"schema":"https://github.com/citation-style-language/schema/raw/master/csl-citation.json"} </w:instrText>
      </w:r>
      <w:r>
        <w:rPr>
          <w:sz w:val="18"/>
          <w:szCs w:val="18"/>
          <w:lang w:val="en-GB"/>
        </w:rPr>
        <w:fldChar w:fldCharType="separate"/>
      </w:r>
      <w:r w:rsidRPr="00D87383">
        <w:rPr>
          <w:sz w:val="18"/>
          <w:lang w:val="en-GB"/>
        </w:rPr>
        <w:t>(Savage, 1954)</w:t>
      </w:r>
      <w:r>
        <w:rPr>
          <w:sz w:val="18"/>
          <w:szCs w:val="18"/>
          <w:lang w:val="en-GB"/>
        </w:rPr>
        <w:fldChar w:fldCharType="end"/>
      </w:r>
      <w:r>
        <w:rPr>
          <w:sz w:val="18"/>
          <w:szCs w:val="18"/>
          <w:lang w:val="en-GB"/>
        </w:rPr>
        <w:t xml:space="preserve">; the Choquet EU by </w:t>
      </w:r>
      <w:r>
        <w:rPr>
          <w:sz w:val="18"/>
          <w:szCs w:val="18"/>
          <w:lang w:val="en-GB"/>
        </w:rPr>
        <w:fldChar w:fldCharType="begin"/>
      </w:r>
      <w:r>
        <w:rPr>
          <w:sz w:val="18"/>
          <w:szCs w:val="18"/>
          <w:lang w:val="en-GB"/>
        </w:rPr>
        <w:instrText xml:space="preserve"> ADDIN ZOTERO_ITEM CSL_CITATION {"citationID":"MW1LdMFZ","properties":{"formattedCitation":"(Schmeidler, 1989)","plainCitation":"(Schmeidler, 1989)","noteIndex":1},"citationItems":[{"id":127018,"uris":["http://zotero.org/users/14812719/items/ALACYWIZ"],"itemData":{"id":127018,"type":"article-journal","abstract":"An act maps states of nature to outcomes; deterministic outcomes as well as random outcomes are included. Two acts f and g are comonotonic, by definition, if it never happens that f(s)&gt;f(t) and g(t)&gt;g(s) for some states of nature s and t. An axiom of comonotonic independence is introduced here. It weakens the von Neumann-Morgenstern axiom of independence as follows: If f&gt;g and if f, g, and h are comonotonic, then @af+(1-@a)h&gt;@ag+(1-@a)h. If a nondegenerate, cOntinuous, and monotonic (state independent) weak order over acts satisfies comonotonic independence, then it induces a unique non-(necessarily-)additive probability and a von Neumann-Morgenstern utility. Furthermore, one can compute the expected utility of an act with respect to the nonadditive probability, using the Choquet integral. This extension of the expected utility theory covers situations, as the Ellsbergparadox, which are inconsistent with additive expected utility. The concept of uncertainty aversion and interpretation of comonotonic independence in the context of social welfare functions are included.","container-title":"Econometrica","DOI":"10.2307/1911053","ISSN":"0012-9682","issue":"3","note":"publisher: [Wiley, Econometric Society]","page":"571-587","source":"JSTOR","title":"Subjective Probability and Expected Utility without Additivity","volume":"57","author":[{"family":"Schmeidler","given":"David"}],"issued":{"date-parts":[["1989"]]}}}],"schema":"https://github.com/citation-style-language/schema/raw/master/csl-citation.json"} </w:instrText>
      </w:r>
      <w:r>
        <w:rPr>
          <w:sz w:val="18"/>
          <w:szCs w:val="18"/>
          <w:lang w:val="en-GB"/>
        </w:rPr>
        <w:fldChar w:fldCharType="separate"/>
      </w:r>
      <w:r w:rsidRPr="00967979">
        <w:rPr>
          <w:sz w:val="18"/>
          <w:lang w:val="en-GB"/>
        </w:rPr>
        <w:t>(Schmeidler, 1989)</w:t>
      </w:r>
      <w:r>
        <w:rPr>
          <w:sz w:val="18"/>
          <w:szCs w:val="18"/>
          <w:lang w:val="en-GB"/>
        </w:rPr>
        <w:fldChar w:fldCharType="end"/>
      </w:r>
      <w:r>
        <w:rPr>
          <w:sz w:val="18"/>
          <w:szCs w:val="18"/>
          <w:lang w:val="en-GB"/>
        </w:rPr>
        <w:t xml:space="preserve">; </w:t>
      </w:r>
      <w:r w:rsidRPr="00EF5173">
        <w:rPr>
          <w:sz w:val="18"/>
          <w:szCs w:val="18"/>
          <w:lang w:val="en-GB"/>
        </w:rPr>
        <w:t xml:space="preserve">the Alpha EU model of </w:t>
      </w:r>
      <w:r>
        <w:rPr>
          <w:sz w:val="18"/>
          <w:szCs w:val="18"/>
          <w:lang w:val="en-GB"/>
        </w:rPr>
        <w:fldChar w:fldCharType="begin"/>
      </w:r>
      <w:r>
        <w:rPr>
          <w:sz w:val="18"/>
          <w:szCs w:val="18"/>
          <w:lang w:val="en-GB"/>
        </w:rPr>
        <w:instrText xml:space="preserve"> ADDIN ZOTERO_ITEM CSL_CITATION {"citationID":"9OE14wkS","properties":{"formattedCitation":"(Ghirardato et al., 2004)","plainCitation":"(Ghirardato et al., 2004)","dontUpdate":true,"noteIndex":1},"citationItems":[{"id":126889,"uris":["http://zotero.org/groups/5657987/items/E59GRE8H"],"itemData":{"id":126889,"type":"article-journal","container-title":"Journal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Pr>
          <w:sz w:val="18"/>
          <w:szCs w:val="18"/>
          <w:lang w:val="en-GB"/>
        </w:rPr>
        <w:fldChar w:fldCharType="separate"/>
      </w:r>
      <w:r w:rsidRPr="00CE67CE">
        <w:rPr>
          <w:sz w:val="18"/>
          <w:lang w:val="en-GB"/>
        </w:rPr>
        <w:t xml:space="preserve">Ghirardato et al. </w:t>
      </w:r>
      <w:r>
        <w:rPr>
          <w:sz w:val="18"/>
          <w:lang w:val="en-GB"/>
        </w:rPr>
        <w:t>(</w:t>
      </w:r>
      <w:r w:rsidRPr="00CE67CE">
        <w:rPr>
          <w:sz w:val="18"/>
          <w:lang w:val="en-GB"/>
        </w:rPr>
        <w:t>2004)</w:t>
      </w:r>
      <w:r>
        <w:rPr>
          <w:sz w:val="18"/>
          <w:szCs w:val="18"/>
          <w:lang w:val="en-GB"/>
        </w:rPr>
        <w:fldChar w:fldCharType="end"/>
      </w:r>
      <w:r>
        <w:rPr>
          <w:sz w:val="18"/>
          <w:szCs w:val="18"/>
          <w:lang w:val="en-GB"/>
        </w:rPr>
        <w:t xml:space="preserve">; the Vector EU model by </w:t>
      </w:r>
      <w:r>
        <w:rPr>
          <w:sz w:val="18"/>
          <w:szCs w:val="18"/>
          <w:lang w:val="en-GB"/>
        </w:rPr>
        <w:fldChar w:fldCharType="begin"/>
      </w:r>
      <w:r>
        <w:rPr>
          <w:sz w:val="18"/>
          <w:szCs w:val="18"/>
          <w:lang w:val="en-GB"/>
        </w:rPr>
        <w:instrText xml:space="preserve"> ADDIN ZOTERO_ITEM CSL_CITATION {"citationID":"mqUftgSM","properties":{"formattedCitation":"(Siniscalchi, 2009)","plainCitation":"(Siniscalchi, 2009)","noteIndex":1},"citationItems":[{"id":127020,"uris":["http://zotero.org/users/14812719/items/SLVF9TSU"],"itemData":{"id":127020,"type":"article-journal","abstract":"This paper proposes a model of decision under ambiguity deemed vector expected utility, or VEU. In this model, an uncertain prospect, or Savage act, is assessed according to (a) a baseline expected-utility evaluation, and (b) an adjustment that reflects the individual's perception of ambiguity and her attitudes toward it. The adjustment is itself a function of the act's exposure to distinct sources of ambiguity, as well as its variability. The key elements of the VEU model are a baseline probability and a collection of random variables, or adjustment factors, which represent acts exposed to distinct ambiguity sources and also reflect complementarities among ambiguous events. The adjustment to the baseline expected-utility evaluation of an act is a function of the covariance of its utility profile with each adjustment factor, which reflects exposure to the corresponding ambiguity source. A behavioral characterization of the VEU model is provided. Furthermore, an updating rule for VEU preferences is proposed and characterized. The suggested updating rule facilitates the analysis of sophisticated dynamic choice with VEU preferences.","container-title":"Econometrica","DOI":"10.3982/ECTA7564","ISSN":"1468-0262","issue":"3","language":"en","note":"_eprint: https://onlinelibrary.wiley.com/doi/pdf/10.3982/ECTA7564","page":"801-855","source":"Wiley Online Library","title":"Vector Expected Utility and Attitudes Toward Variation","volume":"77","author":[{"family":"Siniscalchi","given":"Marciano"}],"issued":{"date-parts":[["2009"]]}}}],"schema":"https://github.com/citation-style-language/schema/raw/master/csl-citation.json"} </w:instrText>
      </w:r>
      <w:r>
        <w:rPr>
          <w:sz w:val="18"/>
          <w:szCs w:val="18"/>
          <w:lang w:val="en-GB"/>
        </w:rPr>
        <w:fldChar w:fldCharType="separate"/>
      </w:r>
      <w:r w:rsidRPr="00967979">
        <w:rPr>
          <w:sz w:val="18"/>
          <w:lang w:val="en-GB"/>
        </w:rPr>
        <w:t>(Siniscalchi, 2009)</w:t>
      </w:r>
      <w:r>
        <w:rPr>
          <w:sz w:val="18"/>
          <w:szCs w:val="18"/>
          <w:lang w:val="en-GB"/>
        </w:rPr>
        <w:fldChar w:fldCharType="end"/>
      </w:r>
      <w:r>
        <w:rPr>
          <w:sz w:val="18"/>
          <w:szCs w:val="18"/>
          <w:lang w:val="en-GB"/>
        </w:rPr>
        <w:t xml:space="preserve">; and the Contraction Model of </w:t>
      </w:r>
      <w:r>
        <w:rPr>
          <w:sz w:val="18"/>
          <w:szCs w:val="18"/>
          <w:lang w:val="en-GB"/>
        </w:rPr>
        <w:fldChar w:fldCharType="begin"/>
      </w:r>
      <w:r>
        <w:rPr>
          <w:sz w:val="18"/>
          <w:szCs w:val="18"/>
          <w:lang w:val="en-GB"/>
        </w:rPr>
        <w:instrText xml:space="preserve"> ADDIN ZOTERO_ITEM CSL_CITATION {"citationID":"qO3mxfYT","properties":{"formattedCitation":"(Gajdos et al., 2008)","plainCitation":"(Gajdos et al., 2008)","noteIndex":1},"citationItems":[{"id":127024,"uris":["http://zotero.org/users/14812719/items/B8JKLNMJ"],"itemData":{"id":127024,"type":"article-journal","container-title":"Journal of Economic Theory","DOI":"10.1016/j.jet.2007.09.002","ISSN":"0022-0531","issue":"1","language":"en","license":"https://www.elsevier.com/tdm/userlicense/1.0/","note":"publisher: Elsevier BV","page":"27-65","source":"Crossref","title":"Attitude toward imprecise information","volume":"140","author":[{"family":"Gajdos","given":"T."},{"family":"Hayashi","given":"T."},{"family":"Tallon","given":"J.-M."},{"family":"Vergnaud","given":"J.-C."}],"issued":{"date-parts":[["2008",5]]}}}],"schema":"https://github.com/citation-style-language/schema/raw/master/csl-citation.json"} </w:instrText>
      </w:r>
      <w:r>
        <w:rPr>
          <w:sz w:val="18"/>
          <w:szCs w:val="18"/>
          <w:lang w:val="en-GB"/>
        </w:rPr>
        <w:fldChar w:fldCharType="separate"/>
      </w:r>
      <w:r w:rsidRPr="00687FAD">
        <w:rPr>
          <w:sz w:val="18"/>
          <w:lang w:val="en-GB"/>
        </w:rPr>
        <w:t>(Gajdos et al., 2008)</w:t>
      </w:r>
      <w:r>
        <w:rPr>
          <w:sz w:val="18"/>
          <w:szCs w:val="18"/>
          <w:lang w:val="en-GB"/>
        </w:rPr>
        <w:fldChar w:fldCharType="end"/>
      </w:r>
      <w:r>
        <w:rPr>
          <w:sz w:val="18"/>
          <w:szCs w:val="18"/>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D1EBD"/>
    <w:multiLevelType w:val="hybridMultilevel"/>
    <w:tmpl w:val="73BA07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0B1118"/>
    <w:multiLevelType w:val="multilevel"/>
    <w:tmpl w:val="CF80E224"/>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A8C4BB7"/>
    <w:multiLevelType w:val="hybridMultilevel"/>
    <w:tmpl w:val="5422220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4EE614BC"/>
    <w:multiLevelType w:val="hybridMultilevel"/>
    <w:tmpl w:val="BBF63BD4"/>
    <w:lvl w:ilvl="0" w:tplc="04090001">
      <w:start w:val="1"/>
      <w:numFmt w:val="bullet"/>
      <w:lvlText w:val=""/>
      <w:lvlJc w:val="left"/>
      <w:pPr>
        <w:ind w:left="360" w:hanging="360"/>
      </w:pPr>
      <w:rPr>
        <w:rFonts w:ascii="Symbol" w:hAnsi="Symbol" w:hint="default"/>
      </w:rPr>
    </w:lvl>
    <w:lvl w:ilvl="1" w:tplc="F4644B36">
      <w:numFmt w:val="bullet"/>
      <w:lvlText w:val="-"/>
      <w:lvlJc w:val="left"/>
      <w:pPr>
        <w:ind w:left="644"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F9142CD"/>
    <w:multiLevelType w:val="hybridMultilevel"/>
    <w:tmpl w:val="5A224D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4520D48"/>
    <w:multiLevelType w:val="multilevel"/>
    <w:tmpl w:val="4D68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9300661">
    <w:abstractNumId w:val="8"/>
  </w:num>
  <w:num w:numId="2" w16cid:durableId="551576474">
    <w:abstractNumId w:val="2"/>
  </w:num>
  <w:num w:numId="3" w16cid:durableId="339547813">
    <w:abstractNumId w:val="5"/>
  </w:num>
  <w:num w:numId="4" w16cid:durableId="2118787338">
    <w:abstractNumId w:val="0"/>
  </w:num>
  <w:num w:numId="5" w16cid:durableId="254632103">
    <w:abstractNumId w:val="6"/>
  </w:num>
  <w:num w:numId="6" w16cid:durableId="480081465">
    <w:abstractNumId w:val="3"/>
  </w:num>
  <w:num w:numId="7" w16cid:durableId="1443648086">
    <w:abstractNumId w:val="1"/>
  </w:num>
  <w:num w:numId="8" w16cid:durableId="1488671130">
    <w:abstractNumId w:val="7"/>
  </w:num>
  <w:num w:numId="9" w16cid:durableId="87257270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None" w15:userId="Meuwissen, Miranda"/>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DD1"/>
    <w:rsid w:val="00011B04"/>
    <w:rsid w:val="00040388"/>
    <w:rsid w:val="000431A0"/>
    <w:rsid w:val="00065330"/>
    <w:rsid w:val="000956D1"/>
    <w:rsid w:val="00097698"/>
    <w:rsid w:val="000A48B8"/>
    <w:rsid w:val="000A565B"/>
    <w:rsid w:val="000C4F00"/>
    <w:rsid w:val="000F469B"/>
    <w:rsid w:val="00122F52"/>
    <w:rsid w:val="001273D2"/>
    <w:rsid w:val="00170B5F"/>
    <w:rsid w:val="00177B74"/>
    <w:rsid w:val="0019739F"/>
    <w:rsid w:val="001E05E8"/>
    <w:rsid w:val="001E1994"/>
    <w:rsid w:val="001F6316"/>
    <w:rsid w:val="001F7F4D"/>
    <w:rsid w:val="00203533"/>
    <w:rsid w:val="00203817"/>
    <w:rsid w:val="00204002"/>
    <w:rsid w:val="002237B7"/>
    <w:rsid w:val="0023427C"/>
    <w:rsid w:val="00244D12"/>
    <w:rsid w:val="00291649"/>
    <w:rsid w:val="002A63D3"/>
    <w:rsid w:val="002A7DED"/>
    <w:rsid w:val="002B219A"/>
    <w:rsid w:val="002B641C"/>
    <w:rsid w:val="00306FF7"/>
    <w:rsid w:val="00327C48"/>
    <w:rsid w:val="003461F1"/>
    <w:rsid w:val="00362290"/>
    <w:rsid w:val="00396B5E"/>
    <w:rsid w:val="003B50D0"/>
    <w:rsid w:val="003B761A"/>
    <w:rsid w:val="003C0C4F"/>
    <w:rsid w:val="004041C5"/>
    <w:rsid w:val="00417015"/>
    <w:rsid w:val="00441E5E"/>
    <w:rsid w:val="004621D6"/>
    <w:rsid w:val="00463DD7"/>
    <w:rsid w:val="004853B5"/>
    <w:rsid w:val="00491901"/>
    <w:rsid w:val="004B74B1"/>
    <w:rsid w:val="004C3189"/>
    <w:rsid w:val="004D2B6E"/>
    <w:rsid w:val="004F2656"/>
    <w:rsid w:val="004F320F"/>
    <w:rsid w:val="005337DB"/>
    <w:rsid w:val="00581DD1"/>
    <w:rsid w:val="00595FAE"/>
    <w:rsid w:val="005A6CBC"/>
    <w:rsid w:val="005B05B8"/>
    <w:rsid w:val="005B1A69"/>
    <w:rsid w:val="005C42BF"/>
    <w:rsid w:val="005E33D9"/>
    <w:rsid w:val="005E61FB"/>
    <w:rsid w:val="00605A0E"/>
    <w:rsid w:val="006379AA"/>
    <w:rsid w:val="006C05D3"/>
    <w:rsid w:val="006C3BFE"/>
    <w:rsid w:val="006D2ADA"/>
    <w:rsid w:val="007065A2"/>
    <w:rsid w:val="00735BE6"/>
    <w:rsid w:val="00742B60"/>
    <w:rsid w:val="00753AD5"/>
    <w:rsid w:val="007B5DC5"/>
    <w:rsid w:val="007F363B"/>
    <w:rsid w:val="008145F7"/>
    <w:rsid w:val="00814B01"/>
    <w:rsid w:val="00833785"/>
    <w:rsid w:val="008757BE"/>
    <w:rsid w:val="008844A8"/>
    <w:rsid w:val="008A0F10"/>
    <w:rsid w:val="008B68A2"/>
    <w:rsid w:val="008C2CD3"/>
    <w:rsid w:val="008C45F5"/>
    <w:rsid w:val="008E77AD"/>
    <w:rsid w:val="008E7FD9"/>
    <w:rsid w:val="009114C8"/>
    <w:rsid w:val="009347AD"/>
    <w:rsid w:val="009D4C15"/>
    <w:rsid w:val="009F1F98"/>
    <w:rsid w:val="009F4615"/>
    <w:rsid w:val="00A079A4"/>
    <w:rsid w:val="00A163B1"/>
    <w:rsid w:val="00A41319"/>
    <w:rsid w:val="00A55553"/>
    <w:rsid w:val="00AA1E27"/>
    <w:rsid w:val="00AA7888"/>
    <w:rsid w:val="00AB113A"/>
    <w:rsid w:val="00AC2D48"/>
    <w:rsid w:val="00AC47AE"/>
    <w:rsid w:val="00AF60DE"/>
    <w:rsid w:val="00B320B5"/>
    <w:rsid w:val="00B54412"/>
    <w:rsid w:val="00B800EF"/>
    <w:rsid w:val="00B86D58"/>
    <w:rsid w:val="00B90618"/>
    <w:rsid w:val="00B93B9D"/>
    <w:rsid w:val="00BA75E5"/>
    <w:rsid w:val="00BB6AE5"/>
    <w:rsid w:val="00BD2280"/>
    <w:rsid w:val="00BF5E0C"/>
    <w:rsid w:val="00C36197"/>
    <w:rsid w:val="00C418C2"/>
    <w:rsid w:val="00C42B83"/>
    <w:rsid w:val="00C707D7"/>
    <w:rsid w:val="00C73CF8"/>
    <w:rsid w:val="00C91CA4"/>
    <w:rsid w:val="00CA12B3"/>
    <w:rsid w:val="00CB3575"/>
    <w:rsid w:val="00CD003C"/>
    <w:rsid w:val="00D01979"/>
    <w:rsid w:val="00D129C2"/>
    <w:rsid w:val="00D13769"/>
    <w:rsid w:val="00D36D4A"/>
    <w:rsid w:val="00D504CD"/>
    <w:rsid w:val="00D750CB"/>
    <w:rsid w:val="00D75442"/>
    <w:rsid w:val="00D75AA4"/>
    <w:rsid w:val="00D777A2"/>
    <w:rsid w:val="00DA1D81"/>
    <w:rsid w:val="00DC2D06"/>
    <w:rsid w:val="00DC453C"/>
    <w:rsid w:val="00DC7523"/>
    <w:rsid w:val="00DD2DB3"/>
    <w:rsid w:val="00DE1B50"/>
    <w:rsid w:val="00E9386B"/>
    <w:rsid w:val="00E976D1"/>
    <w:rsid w:val="00EC4966"/>
    <w:rsid w:val="00ED397B"/>
    <w:rsid w:val="00EE7350"/>
    <w:rsid w:val="00EE7FB2"/>
    <w:rsid w:val="00F0027D"/>
    <w:rsid w:val="00F01B28"/>
    <w:rsid w:val="00F06356"/>
    <w:rsid w:val="00F267C4"/>
    <w:rsid w:val="00F309B5"/>
    <w:rsid w:val="00F43ACF"/>
    <w:rsid w:val="00F54218"/>
    <w:rsid w:val="00F71C0D"/>
    <w:rsid w:val="00F803CF"/>
    <w:rsid w:val="00F877B1"/>
    <w:rsid w:val="00F92F90"/>
    <w:rsid w:val="00F94034"/>
    <w:rsid w:val="00F96A0D"/>
    <w:rsid w:val="00FA4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1AC0F2"/>
  <w15:chartTrackingRefBased/>
  <w15:docId w15:val="{3AB78DEA-0EFF-41C1-AB65-5130E39C5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DD1"/>
    <w:pPr>
      <w:spacing w:after="0" w:line="240" w:lineRule="auto"/>
    </w:pPr>
    <w:rPr>
      <w:rFonts w:ascii="CG Times" w:eastAsia="Times New Roman" w:hAnsi="CG Times" w:cs="Times New Roman"/>
      <w:szCs w:val="20"/>
      <w:lang w:val="nl-NL"/>
    </w:rPr>
  </w:style>
  <w:style w:type="paragraph" w:styleId="Heading1">
    <w:name w:val="heading 1"/>
    <w:basedOn w:val="Normal"/>
    <w:next w:val="Normal"/>
    <w:link w:val="Heading1Char"/>
    <w:uiPriority w:val="9"/>
    <w:qFormat/>
    <w:rsid w:val="005C42BF"/>
    <w:pPr>
      <w:keepNext/>
      <w:keepLines/>
      <w:numPr>
        <w:numId w:val="2"/>
      </w:numPr>
      <w:spacing w:before="360" w:after="120"/>
      <w:ind w:hanging="36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2B219A"/>
    <w:pPr>
      <w:keepNext/>
      <w:keepLines/>
      <w:spacing w:before="160" w:after="12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327C48"/>
    <w:pPr>
      <w:keepNext/>
      <w:keepLines/>
      <w:spacing w:before="40" w:after="120"/>
      <w:ind w:left="720" w:hanging="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27C48"/>
    <w:pPr>
      <w:keepNext/>
      <w:keepLines/>
      <w:spacing w:before="40" w:after="120"/>
      <w:ind w:left="864" w:hanging="864"/>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327C48"/>
    <w:pPr>
      <w:keepNext/>
      <w:keepLines/>
      <w:spacing w:before="40" w:after="120"/>
      <w:ind w:left="1008" w:hanging="1008"/>
      <w:outlineLvl w:val="4"/>
    </w:pPr>
    <w:rPr>
      <w:rFonts w:asciiTheme="majorHAnsi" w:eastAsiaTheme="majorEastAsia" w:hAnsiTheme="maj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327C48"/>
    <w:pPr>
      <w:keepNext/>
      <w:keepLines/>
      <w:spacing w:before="40" w:after="120"/>
      <w:ind w:left="1152" w:hanging="1152"/>
      <w:outlineLvl w:val="5"/>
    </w:pPr>
    <w:rPr>
      <w:rFonts w:asciiTheme="majorHAnsi" w:eastAsiaTheme="majorEastAsia" w:hAnsiTheme="majorHAnsi" w:cstheme="majorBidi"/>
      <w:color w:val="1F3763" w:themeColor="accent1" w:themeShade="7F"/>
      <w:sz w:val="24"/>
    </w:rPr>
  </w:style>
  <w:style w:type="paragraph" w:styleId="Heading7">
    <w:name w:val="heading 7"/>
    <w:basedOn w:val="Normal"/>
    <w:next w:val="Normal"/>
    <w:link w:val="Heading7Char"/>
    <w:uiPriority w:val="9"/>
    <w:semiHidden/>
    <w:unhideWhenUsed/>
    <w:qFormat/>
    <w:rsid w:val="00327C48"/>
    <w:pPr>
      <w:keepNext/>
      <w:keepLines/>
      <w:spacing w:before="40" w:after="120"/>
      <w:ind w:left="1296" w:hanging="1296"/>
      <w:outlineLvl w:val="6"/>
    </w:pPr>
    <w:rPr>
      <w:rFonts w:asciiTheme="majorHAnsi" w:eastAsiaTheme="majorEastAsia" w:hAnsiTheme="majorHAnsi" w:cstheme="majorBidi"/>
      <w:i/>
      <w:iCs/>
      <w:color w:val="1F3763" w:themeColor="accent1" w:themeShade="7F"/>
      <w:sz w:val="24"/>
    </w:rPr>
  </w:style>
  <w:style w:type="paragraph" w:styleId="Heading8">
    <w:name w:val="heading 8"/>
    <w:basedOn w:val="Normal"/>
    <w:next w:val="Normal"/>
    <w:link w:val="Heading8Char"/>
    <w:uiPriority w:val="9"/>
    <w:semiHidden/>
    <w:unhideWhenUsed/>
    <w:qFormat/>
    <w:rsid w:val="00327C48"/>
    <w:pPr>
      <w:keepNext/>
      <w:keepLines/>
      <w:spacing w:before="40" w:after="12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27C48"/>
    <w:pPr>
      <w:keepNext/>
      <w:keepLines/>
      <w:spacing w:before="40" w:after="12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2BF"/>
    <w:rPr>
      <w:rFonts w:ascii="Times New Roman" w:eastAsiaTheme="majorEastAsia" w:hAnsi="Times New Roman" w:cstheme="majorBidi"/>
      <w:sz w:val="32"/>
      <w:szCs w:val="32"/>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2B219A"/>
    <w:rPr>
      <w:rFonts w:ascii="Times New Roman" w:eastAsiaTheme="majorEastAsia" w:hAnsi="Times New Roman" w:cstheme="majorBidi"/>
      <w:b/>
      <w:sz w:val="26"/>
      <w:szCs w:val="26"/>
    </w:rPr>
  </w:style>
  <w:style w:type="paragraph" w:styleId="ListParagraph">
    <w:name w:val="List Paragraph"/>
    <w:basedOn w:val="Normal"/>
    <w:uiPriority w:val="34"/>
    <w:qFormat/>
    <w:rsid w:val="00AC2D48"/>
    <w:pPr>
      <w:ind w:left="720"/>
      <w:contextualSpacing/>
    </w:pPr>
  </w:style>
  <w:style w:type="table" w:styleId="TableGrid">
    <w:name w:val="Table Grid"/>
    <w:basedOn w:val="TableNormal"/>
    <w:uiPriority w:val="39"/>
    <w:rsid w:val="004D2B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844A8"/>
    <w:rPr>
      <w:sz w:val="16"/>
      <w:szCs w:val="16"/>
    </w:rPr>
  </w:style>
  <w:style w:type="paragraph" w:styleId="CommentText">
    <w:name w:val="annotation text"/>
    <w:basedOn w:val="Normal"/>
    <w:link w:val="CommentTextChar"/>
    <w:uiPriority w:val="99"/>
    <w:unhideWhenUsed/>
    <w:rsid w:val="008844A8"/>
    <w:pPr>
      <w:spacing w:after="160"/>
    </w:pPr>
    <w:rPr>
      <w:rFonts w:ascii="Times New Roman" w:eastAsiaTheme="minorHAnsi" w:hAnsi="Times New Roman" w:cstheme="minorBidi"/>
      <w:sz w:val="20"/>
      <w:lang w:val="en-US"/>
    </w:rPr>
  </w:style>
  <w:style w:type="character" w:customStyle="1" w:styleId="CommentTextChar">
    <w:name w:val="Comment Text Char"/>
    <w:basedOn w:val="DefaultParagraphFont"/>
    <w:link w:val="CommentText"/>
    <w:uiPriority w:val="99"/>
    <w:rsid w:val="008844A8"/>
    <w:rPr>
      <w:rFonts w:ascii="Times New Roman" w:hAnsi="Times New Roman"/>
      <w:sz w:val="20"/>
      <w:szCs w:val="20"/>
    </w:rPr>
  </w:style>
  <w:style w:type="paragraph" w:styleId="FootnoteText">
    <w:name w:val="footnote text"/>
    <w:basedOn w:val="Normal"/>
    <w:link w:val="FootnoteTextChar"/>
    <w:uiPriority w:val="99"/>
    <w:semiHidden/>
    <w:unhideWhenUsed/>
    <w:rsid w:val="00DC2D06"/>
    <w:rPr>
      <w:sz w:val="20"/>
    </w:rPr>
  </w:style>
  <w:style w:type="character" w:customStyle="1" w:styleId="FootnoteTextChar">
    <w:name w:val="Footnote Text Char"/>
    <w:basedOn w:val="DefaultParagraphFont"/>
    <w:link w:val="FootnoteText"/>
    <w:uiPriority w:val="99"/>
    <w:semiHidden/>
    <w:rsid w:val="00DC2D0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DC2D06"/>
    <w:rPr>
      <w:vertAlign w:val="superscript"/>
    </w:rPr>
  </w:style>
  <w:style w:type="character" w:styleId="EndnoteReference">
    <w:name w:val="endnote reference"/>
    <w:basedOn w:val="DefaultParagraphFont"/>
    <w:uiPriority w:val="99"/>
    <w:semiHidden/>
    <w:unhideWhenUsed/>
    <w:rsid w:val="001273D2"/>
    <w:rPr>
      <w:vertAlign w:val="superscript"/>
    </w:rPr>
  </w:style>
  <w:style w:type="paragraph" w:styleId="Revision">
    <w:name w:val="Revision"/>
    <w:hidden/>
    <w:uiPriority w:val="99"/>
    <w:semiHidden/>
    <w:rsid w:val="00C91CA4"/>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327C4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327C48"/>
    <w:rPr>
      <w:rFonts w:asciiTheme="majorHAnsi" w:eastAsiaTheme="majorEastAsia" w:hAnsiTheme="majorHAnsi" w:cstheme="majorBidi"/>
      <w:i/>
      <w:iCs/>
      <w:color w:val="2F5496" w:themeColor="accent1" w:themeShade="BF"/>
      <w:sz w:val="24"/>
      <w:szCs w:val="20"/>
      <w:lang w:val="nl-NL"/>
    </w:rPr>
  </w:style>
  <w:style w:type="character" w:customStyle="1" w:styleId="Heading5Char">
    <w:name w:val="Heading 5 Char"/>
    <w:basedOn w:val="DefaultParagraphFont"/>
    <w:link w:val="Heading5"/>
    <w:uiPriority w:val="9"/>
    <w:semiHidden/>
    <w:rsid w:val="00327C48"/>
    <w:rPr>
      <w:rFonts w:asciiTheme="majorHAnsi" w:eastAsiaTheme="majorEastAsia" w:hAnsiTheme="majorHAnsi" w:cstheme="majorBidi"/>
      <w:color w:val="2F5496" w:themeColor="accent1" w:themeShade="BF"/>
      <w:sz w:val="24"/>
      <w:szCs w:val="20"/>
      <w:lang w:val="nl-NL"/>
    </w:rPr>
  </w:style>
  <w:style w:type="character" w:customStyle="1" w:styleId="Heading6Char">
    <w:name w:val="Heading 6 Char"/>
    <w:basedOn w:val="DefaultParagraphFont"/>
    <w:link w:val="Heading6"/>
    <w:uiPriority w:val="9"/>
    <w:semiHidden/>
    <w:rsid w:val="00327C48"/>
    <w:rPr>
      <w:rFonts w:asciiTheme="majorHAnsi" w:eastAsiaTheme="majorEastAsia" w:hAnsiTheme="majorHAnsi" w:cstheme="majorBidi"/>
      <w:color w:val="1F3763" w:themeColor="accent1" w:themeShade="7F"/>
      <w:sz w:val="24"/>
      <w:szCs w:val="20"/>
      <w:lang w:val="nl-NL"/>
    </w:rPr>
  </w:style>
  <w:style w:type="character" w:customStyle="1" w:styleId="Heading7Char">
    <w:name w:val="Heading 7 Char"/>
    <w:basedOn w:val="DefaultParagraphFont"/>
    <w:link w:val="Heading7"/>
    <w:uiPriority w:val="9"/>
    <w:semiHidden/>
    <w:rsid w:val="00327C48"/>
    <w:rPr>
      <w:rFonts w:asciiTheme="majorHAnsi" w:eastAsiaTheme="majorEastAsia" w:hAnsiTheme="majorHAnsi" w:cstheme="majorBidi"/>
      <w:i/>
      <w:iCs/>
      <w:color w:val="1F3763" w:themeColor="accent1" w:themeShade="7F"/>
      <w:sz w:val="24"/>
      <w:szCs w:val="20"/>
      <w:lang w:val="nl-NL"/>
    </w:rPr>
  </w:style>
  <w:style w:type="character" w:customStyle="1" w:styleId="Heading8Char">
    <w:name w:val="Heading 8 Char"/>
    <w:basedOn w:val="DefaultParagraphFont"/>
    <w:link w:val="Heading8"/>
    <w:uiPriority w:val="9"/>
    <w:semiHidden/>
    <w:rsid w:val="00327C4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327C48"/>
    <w:rPr>
      <w:rFonts w:asciiTheme="majorHAnsi" w:eastAsiaTheme="majorEastAsia" w:hAnsiTheme="majorHAnsi" w:cstheme="majorBidi"/>
      <w:i/>
      <w:iCs/>
      <w:color w:val="272727" w:themeColor="text1" w:themeTint="D8"/>
      <w:sz w:val="21"/>
      <w:szCs w:val="21"/>
      <w:lang w:val="nl-NL"/>
    </w:rPr>
  </w:style>
  <w:style w:type="character" w:styleId="Hyperlink">
    <w:name w:val="Hyperlink"/>
    <w:basedOn w:val="DefaultParagraphFont"/>
    <w:uiPriority w:val="99"/>
    <w:unhideWhenUsed/>
    <w:rsid w:val="00327C48"/>
    <w:rPr>
      <w:color w:val="0563C1" w:themeColor="hyperlink"/>
      <w:u w:val="single"/>
    </w:rPr>
  </w:style>
  <w:style w:type="paragraph" w:customStyle="1" w:styleId="papertitle">
    <w:name w:val="paper_title"/>
    <w:basedOn w:val="Normal"/>
    <w:rsid w:val="009114C8"/>
    <w:pPr>
      <w:spacing w:before="100" w:beforeAutospacing="1" w:after="100" w:afterAutospacing="1"/>
    </w:pPr>
    <w:rPr>
      <w:rFonts w:ascii="Times New Roman" w:hAnsi="Times New Roman"/>
      <w:sz w:val="24"/>
      <w:szCs w:val="24"/>
      <w:lang w:val="en-GB" w:eastAsia="en-GB"/>
    </w:rPr>
  </w:style>
  <w:style w:type="paragraph" w:customStyle="1" w:styleId="papersymposiumauthors">
    <w:name w:val="paper_symposium_authors"/>
    <w:basedOn w:val="Normal"/>
    <w:rsid w:val="009114C8"/>
    <w:pPr>
      <w:spacing w:before="100" w:beforeAutospacing="1" w:after="100" w:afterAutospacing="1"/>
    </w:pPr>
    <w:rPr>
      <w:rFonts w:ascii="Times New Roman" w:hAnsi="Times New Roman"/>
      <w:sz w:val="24"/>
      <w:szCs w:val="24"/>
      <w:lang w:val="en-GB" w:eastAsia="en-GB"/>
    </w:rPr>
  </w:style>
  <w:style w:type="character" w:customStyle="1" w:styleId="papersymposiumauthor">
    <w:name w:val="paper_symposium_author"/>
    <w:basedOn w:val="DefaultParagraphFont"/>
    <w:rsid w:val="009114C8"/>
  </w:style>
  <w:style w:type="character" w:customStyle="1" w:styleId="papersymposumorganisation">
    <w:name w:val="paper_symposum_organisation"/>
    <w:basedOn w:val="DefaultParagraphFont"/>
    <w:rsid w:val="009114C8"/>
  </w:style>
  <w:style w:type="paragraph" w:customStyle="1" w:styleId="paperabstract">
    <w:name w:val="paper_abstract"/>
    <w:basedOn w:val="Normal"/>
    <w:rsid w:val="009114C8"/>
    <w:pPr>
      <w:spacing w:before="100" w:beforeAutospacing="1" w:after="100" w:afterAutospacing="1"/>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2786441">
      <w:bodyDiv w:val="1"/>
      <w:marLeft w:val="0"/>
      <w:marRight w:val="0"/>
      <w:marTop w:val="0"/>
      <w:marBottom w:val="0"/>
      <w:divBdr>
        <w:top w:val="none" w:sz="0" w:space="0" w:color="auto"/>
        <w:left w:val="none" w:sz="0" w:space="0" w:color="auto"/>
        <w:bottom w:val="none" w:sz="0" w:space="0" w:color="auto"/>
        <w:right w:val="none" w:sz="0" w:space="0" w:color="auto"/>
      </w:divBdr>
    </w:div>
    <w:div w:id="657421328">
      <w:bodyDiv w:val="1"/>
      <w:marLeft w:val="0"/>
      <w:marRight w:val="0"/>
      <w:marTop w:val="0"/>
      <w:marBottom w:val="0"/>
      <w:divBdr>
        <w:top w:val="none" w:sz="0" w:space="0" w:color="auto"/>
        <w:left w:val="none" w:sz="0" w:space="0" w:color="auto"/>
        <w:bottom w:val="none" w:sz="0" w:space="0" w:color="auto"/>
        <w:right w:val="none" w:sz="0" w:space="0" w:color="auto"/>
      </w:divBdr>
      <w:divsChild>
        <w:div w:id="499083009">
          <w:marLeft w:val="0"/>
          <w:marRight w:val="0"/>
          <w:marTop w:val="48"/>
          <w:marBottom w:val="0"/>
          <w:divBdr>
            <w:top w:val="none" w:sz="0" w:space="0" w:color="auto"/>
            <w:left w:val="none" w:sz="0" w:space="0" w:color="auto"/>
            <w:bottom w:val="none" w:sz="0" w:space="0" w:color="auto"/>
            <w:right w:val="none" w:sz="0" w:space="0" w:color="auto"/>
          </w:divBdr>
        </w:div>
      </w:divsChild>
    </w:div>
    <w:div w:id="1220942588">
      <w:bodyDiv w:val="1"/>
      <w:marLeft w:val="0"/>
      <w:marRight w:val="0"/>
      <w:marTop w:val="0"/>
      <w:marBottom w:val="0"/>
      <w:divBdr>
        <w:top w:val="none" w:sz="0" w:space="0" w:color="auto"/>
        <w:left w:val="none" w:sz="0" w:space="0" w:color="auto"/>
        <w:bottom w:val="none" w:sz="0" w:space="0" w:color="auto"/>
        <w:right w:val="none" w:sz="0" w:space="0" w:color="auto"/>
      </w:divBdr>
    </w:div>
    <w:div w:id="205739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gridata.ec.europa.eu/extensions/DashboardFertiliser/FertiliserPrices.html" TargetMode="Externa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teseo.clal.it/?section=fertilizzanti_torino"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wageningenur4-my.sharepoint.com/personal/riccardo_spada_wur_nl/Documents/PhD_RiccardoSpada/03_Research%20Proposal/Data/CMO-Historical-Data-Monthl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Sheet4!$C$10</c:f>
              <c:strCache>
                <c:ptCount val="1"/>
                <c:pt idx="0">
                  <c:v>Energy index</c:v>
                </c:pt>
              </c:strCache>
            </c:strRef>
          </c:tx>
          <c:spPr>
            <a:ln w="28575" cap="rnd">
              <a:solidFill>
                <a:schemeClr val="accent1"/>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Sheet4!$C$11:$C$240</c:f>
              <c:numCache>
                <c:formatCode>0.00</c:formatCode>
                <c:ptCount val="230"/>
                <c:pt idx="0">
                  <c:v>60.765990337669997</c:v>
                </c:pt>
                <c:pt idx="1">
                  <c:v>61.984719606810003</c:v>
                </c:pt>
                <c:pt idx="2">
                  <c:v>71.119640953109993</c:v>
                </c:pt>
                <c:pt idx="3">
                  <c:v>70.253333226500004</c:v>
                </c:pt>
                <c:pt idx="4">
                  <c:v>65.993949425970001</c:v>
                </c:pt>
                <c:pt idx="5">
                  <c:v>72.913231814390002</c:v>
                </c:pt>
                <c:pt idx="6">
                  <c:v>77.245863353839994</c:v>
                </c:pt>
                <c:pt idx="7">
                  <c:v>86.781686235400002</c:v>
                </c:pt>
                <c:pt idx="8">
                  <c:v>89.692386260589998</c:v>
                </c:pt>
                <c:pt idx="9">
                  <c:v>86.035961028779994</c:v>
                </c:pt>
                <c:pt idx="10">
                  <c:v>78.714618870820004</c:v>
                </c:pt>
                <c:pt idx="11">
                  <c:v>83.15138308185</c:v>
                </c:pt>
                <c:pt idx="12">
                  <c:v>85.428253039609999</c:v>
                </c:pt>
                <c:pt idx="13">
                  <c:v>80.260733300319998</c:v>
                </c:pt>
                <c:pt idx="14">
                  <c:v>82.070085726049996</c:v>
                </c:pt>
                <c:pt idx="15">
                  <c:v>91.300561780519999</c:v>
                </c:pt>
                <c:pt idx="16">
                  <c:v>89.864789165239998</c:v>
                </c:pt>
                <c:pt idx="17">
                  <c:v>88.454157684560002</c:v>
                </c:pt>
                <c:pt idx="18">
                  <c:v>94.02883652845</c:v>
                </c:pt>
                <c:pt idx="19">
                  <c:v>94.708983011659996</c:v>
                </c:pt>
                <c:pt idx="20">
                  <c:v>80.288117281349997</c:v>
                </c:pt>
                <c:pt idx="21">
                  <c:v>76.989093109400002</c:v>
                </c:pt>
                <c:pt idx="22">
                  <c:v>79.151896185509997</c:v>
                </c:pt>
                <c:pt idx="23">
                  <c:v>82.226495082770001</c:v>
                </c:pt>
                <c:pt idx="24">
                  <c:v>73.60813299934</c:v>
                </c:pt>
                <c:pt idx="25">
                  <c:v>79.14058224675</c:v>
                </c:pt>
                <c:pt idx="26">
                  <c:v>82.705339382389994</c:v>
                </c:pt>
                <c:pt idx="27">
                  <c:v>88.755110522419997</c:v>
                </c:pt>
                <c:pt idx="28">
                  <c:v>88.865324368309999</c:v>
                </c:pt>
                <c:pt idx="29">
                  <c:v>92.819897440510005</c:v>
                </c:pt>
                <c:pt idx="30">
                  <c:v>97.986628468679996</c:v>
                </c:pt>
                <c:pt idx="31">
                  <c:v>91.384298362440006</c:v>
                </c:pt>
                <c:pt idx="32">
                  <c:v>98.065731954330005</c:v>
                </c:pt>
                <c:pt idx="33">
                  <c:v>105.72020739341001</c:v>
                </c:pt>
                <c:pt idx="34">
                  <c:v>117.09671033074</c:v>
                </c:pt>
                <c:pt idx="35">
                  <c:v>116.28180289530999</c:v>
                </c:pt>
                <c:pt idx="36">
                  <c:v>118.60395290539</c:v>
                </c:pt>
                <c:pt idx="37">
                  <c:v>124.40291629159</c:v>
                </c:pt>
                <c:pt idx="38">
                  <c:v>133.99362166159</c:v>
                </c:pt>
                <c:pt idx="39">
                  <c:v>143.13408248550999</c:v>
                </c:pt>
                <c:pt idx="40">
                  <c:v>159.76369173084001</c:v>
                </c:pt>
                <c:pt idx="41">
                  <c:v>172.74148353346999</c:v>
                </c:pt>
                <c:pt idx="42">
                  <c:v>173.48356238064</c:v>
                </c:pt>
                <c:pt idx="43">
                  <c:v>147.61430086908999</c:v>
                </c:pt>
                <c:pt idx="44">
                  <c:v>130.9818854831</c:v>
                </c:pt>
                <c:pt idx="45">
                  <c:v>100.50010571835</c:v>
                </c:pt>
                <c:pt idx="46">
                  <c:v>78.807557234209995</c:v>
                </c:pt>
                <c:pt idx="47">
                  <c:v>64.381984038110005</c:v>
                </c:pt>
                <c:pt idx="48">
                  <c:v>66.273161083250002</c:v>
                </c:pt>
                <c:pt idx="49">
                  <c:v>61.802031308709999</c:v>
                </c:pt>
                <c:pt idx="50">
                  <c:v>64.053166896090005</c:v>
                </c:pt>
                <c:pt idx="51">
                  <c:v>66.515776330600005</c:v>
                </c:pt>
                <c:pt idx="52">
                  <c:v>74.240901022149998</c:v>
                </c:pt>
                <c:pt idx="53">
                  <c:v>85.799651559129998</c:v>
                </c:pt>
                <c:pt idx="54">
                  <c:v>80.806867058120005</c:v>
                </c:pt>
                <c:pt idx="55">
                  <c:v>88.637519932510003</c:v>
                </c:pt>
                <c:pt idx="56">
                  <c:v>83.204295081300003</c:v>
                </c:pt>
                <c:pt idx="57">
                  <c:v>90.893219979999998</c:v>
                </c:pt>
                <c:pt idx="58">
                  <c:v>95.012508100199994</c:v>
                </c:pt>
                <c:pt idx="59">
                  <c:v>95.039782082990001</c:v>
                </c:pt>
                <c:pt idx="60">
                  <c:v>98.504238046880005</c:v>
                </c:pt>
                <c:pt idx="61">
                  <c:v>95.603406405309997</c:v>
                </c:pt>
                <c:pt idx="62">
                  <c:v>99.577030797960006</c:v>
                </c:pt>
                <c:pt idx="63">
                  <c:v>104.85014108311999</c:v>
                </c:pt>
                <c:pt idx="64">
                  <c:v>95.678948899000005</c:v>
                </c:pt>
                <c:pt idx="65">
                  <c:v>95.097065575100004</c:v>
                </c:pt>
                <c:pt idx="66">
                  <c:v>94.878998056010005</c:v>
                </c:pt>
                <c:pt idx="67">
                  <c:v>96.454098892489995</c:v>
                </c:pt>
                <c:pt idx="68">
                  <c:v>97.22504240069</c:v>
                </c:pt>
                <c:pt idx="69">
                  <c:v>102.18881522845</c:v>
                </c:pt>
                <c:pt idx="70">
                  <c:v>106.08754104042001</c:v>
                </c:pt>
                <c:pt idx="71">
                  <c:v>113.85467357457</c:v>
                </c:pt>
                <c:pt idx="72">
                  <c:v>120.13082648311</c:v>
                </c:pt>
                <c:pt idx="73">
                  <c:v>127.43908847514</c:v>
                </c:pt>
                <c:pt idx="74">
                  <c:v>138.374412181</c:v>
                </c:pt>
                <c:pt idx="75">
                  <c:v>148.26435485958999</c:v>
                </c:pt>
                <c:pt idx="76">
                  <c:v>139.06135555092999</c:v>
                </c:pt>
                <c:pt idx="77">
                  <c:v>138.72306013318999</c:v>
                </c:pt>
                <c:pt idx="78">
                  <c:v>141.94397979857001</c:v>
                </c:pt>
                <c:pt idx="79">
                  <c:v>134.60285853753999</c:v>
                </c:pt>
                <c:pt idx="80">
                  <c:v>135.38982620076999</c:v>
                </c:pt>
                <c:pt idx="81">
                  <c:v>133.58900883856001</c:v>
                </c:pt>
                <c:pt idx="82">
                  <c:v>133.96953867158999</c:v>
                </c:pt>
                <c:pt idx="83">
                  <c:v>131.0925390605</c:v>
                </c:pt>
                <c:pt idx="84">
                  <c:v>134.11352856145999</c:v>
                </c:pt>
                <c:pt idx="85">
                  <c:v>142.78714370310001</c:v>
                </c:pt>
                <c:pt idx="86">
                  <c:v>147.88340346397001</c:v>
                </c:pt>
                <c:pt idx="87">
                  <c:v>142.42801169257999</c:v>
                </c:pt>
                <c:pt idx="88">
                  <c:v>132.27917090896</c:v>
                </c:pt>
                <c:pt idx="89">
                  <c:v>115.96677036253</c:v>
                </c:pt>
                <c:pt idx="90">
                  <c:v>124.55944939168</c:v>
                </c:pt>
                <c:pt idx="91">
                  <c:v>135.37886781028999</c:v>
                </c:pt>
                <c:pt idx="92">
                  <c:v>135.21456485277</c:v>
                </c:pt>
                <c:pt idx="93">
                  <c:v>134.15051036755</c:v>
                </c:pt>
                <c:pt idx="94">
                  <c:v>132.33350046750999</c:v>
                </c:pt>
                <c:pt idx="95">
                  <c:v>132.37473716727001</c:v>
                </c:pt>
                <c:pt idx="96">
                  <c:v>135.93198153234999</c:v>
                </c:pt>
                <c:pt idx="97">
                  <c:v>139.79240051329</c:v>
                </c:pt>
                <c:pt idx="98">
                  <c:v>132.53688317922001</c:v>
                </c:pt>
                <c:pt idx="99">
                  <c:v>126.60937469563</c:v>
                </c:pt>
                <c:pt idx="100">
                  <c:v>126.30164168444</c:v>
                </c:pt>
                <c:pt idx="101">
                  <c:v>125.71450215023999</c:v>
                </c:pt>
                <c:pt idx="102">
                  <c:v>129.88631425273999</c:v>
                </c:pt>
                <c:pt idx="103">
                  <c:v>133.04242050068001</c:v>
                </c:pt>
                <c:pt idx="104">
                  <c:v>133.77322248939001</c:v>
                </c:pt>
                <c:pt idx="105">
                  <c:v>131.74519296599999</c:v>
                </c:pt>
                <c:pt idx="106">
                  <c:v>130.34830337691</c:v>
                </c:pt>
                <c:pt idx="107">
                  <c:v>134.15338102158</c:v>
                </c:pt>
                <c:pt idx="108">
                  <c:v>131.21821073733</c:v>
                </c:pt>
                <c:pt idx="109">
                  <c:v>133.96655058107001</c:v>
                </c:pt>
                <c:pt idx="110">
                  <c:v>130.66761978161</c:v>
                </c:pt>
                <c:pt idx="111">
                  <c:v>130.67833077146</c:v>
                </c:pt>
                <c:pt idx="112">
                  <c:v>132.32730088100999</c:v>
                </c:pt>
                <c:pt idx="113">
                  <c:v>134.32371694167</c:v>
                </c:pt>
                <c:pt idx="114">
                  <c:v>127.94733367713999</c:v>
                </c:pt>
                <c:pt idx="115">
                  <c:v>122.39020436574</c:v>
                </c:pt>
                <c:pt idx="116">
                  <c:v>117.43723625729</c:v>
                </c:pt>
                <c:pt idx="117">
                  <c:v>106.77311100541</c:v>
                </c:pt>
                <c:pt idx="118">
                  <c:v>97.303462084840007</c:v>
                </c:pt>
                <c:pt idx="119">
                  <c:v>79.795215688959999</c:v>
                </c:pt>
                <c:pt idx="120">
                  <c:v>63.749080999050001</c:v>
                </c:pt>
                <c:pt idx="121">
                  <c:v>73.766194665800001</c:v>
                </c:pt>
                <c:pt idx="122">
                  <c:v>71.14510517814</c:v>
                </c:pt>
                <c:pt idx="123">
                  <c:v>73.358851989350001</c:v>
                </c:pt>
                <c:pt idx="124">
                  <c:v>79.257397609989994</c:v>
                </c:pt>
                <c:pt idx="125">
                  <c:v>76.684858160760001</c:v>
                </c:pt>
                <c:pt idx="126">
                  <c:v>69.973978567570001</c:v>
                </c:pt>
                <c:pt idx="127">
                  <c:v>60.265307898800003</c:v>
                </c:pt>
                <c:pt idx="128">
                  <c:v>60.309278999839997</c:v>
                </c:pt>
                <c:pt idx="129">
                  <c:v>60.507970163560003</c:v>
                </c:pt>
                <c:pt idx="130">
                  <c:v>55.870897468430002</c:v>
                </c:pt>
                <c:pt idx="131">
                  <c:v>48.300350309320002</c:v>
                </c:pt>
                <c:pt idx="132">
                  <c:v>40.856135765440001</c:v>
                </c:pt>
                <c:pt idx="133">
                  <c:v>42.84032596702</c:v>
                </c:pt>
                <c:pt idx="134">
                  <c:v>48.741172165750001</c:v>
                </c:pt>
                <c:pt idx="135">
                  <c:v>52.276382469360001</c:v>
                </c:pt>
                <c:pt idx="136">
                  <c:v>57.653930704739999</c:v>
                </c:pt>
                <c:pt idx="137">
                  <c:v>60.2313572061</c:v>
                </c:pt>
                <c:pt idx="138">
                  <c:v>57.278804241449997</c:v>
                </c:pt>
                <c:pt idx="139">
                  <c:v>58.415626040550002</c:v>
                </c:pt>
                <c:pt idx="140">
                  <c:v>59.086695117170002</c:v>
                </c:pt>
                <c:pt idx="141">
                  <c:v>64.394119652000001</c:v>
                </c:pt>
                <c:pt idx="142">
                  <c:v>60.92628963232</c:v>
                </c:pt>
                <c:pt idx="143">
                  <c:v>69.585765567280006</c:v>
                </c:pt>
                <c:pt idx="144">
                  <c:v>70.230703261909994</c:v>
                </c:pt>
                <c:pt idx="145">
                  <c:v>70.098830779850005</c:v>
                </c:pt>
                <c:pt idx="146">
                  <c:v>65.937610414250003</c:v>
                </c:pt>
                <c:pt idx="147">
                  <c:v>67.436880445930001</c:v>
                </c:pt>
                <c:pt idx="148">
                  <c:v>64.866420131850006</c:v>
                </c:pt>
                <c:pt idx="149">
                  <c:v>60.609711681230003</c:v>
                </c:pt>
                <c:pt idx="150">
                  <c:v>62.907359898389998</c:v>
                </c:pt>
                <c:pt idx="151">
                  <c:v>66.40945721224</c:v>
                </c:pt>
                <c:pt idx="152">
                  <c:v>70.740938579919998</c:v>
                </c:pt>
                <c:pt idx="153">
                  <c:v>73.276457646669996</c:v>
                </c:pt>
                <c:pt idx="154">
                  <c:v>78.953262920979995</c:v>
                </c:pt>
                <c:pt idx="155">
                  <c:v>80.828238226509995</c:v>
                </c:pt>
                <c:pt idx="156">
                  <c:v>87.411860770849998</c:v>
                </c:pt>
                <c:pt idx="157">
                  <c:v>82.111502349419993</c:v>
                </c:pt>
                <c:pt idx="158">
                  <c:v>82.814709434989993</c:v>
                </c:pt>
                <c:pt idx="159">
                  <c:v>88.397451615129995</c:v>
                </c:pt>
                <c:pt idx="160">
                  <c:v>94.596396064450005</c:v>
                </c:pt>
                <c:pt idx="161">
                  <c:v>93.668528431840002</c:v>
                </c:pt>
                <c:pt idx="162">
                  <c:v>93.028863211269993</c:v>
                </c:pt>
                <c:pt idx="163">
                  <c:v>91.986125269400006</c:v>
                </c:pt>
                <c:pt idx="164">
                  <c:v>98.724499478979993</c:v>
                </c:pt>
                <c:pt idx="165">
                  <c:v>100.22216927105001</c:v>
                </c:pt>
                <c:pt idx="166">
                  <c:v>84.436807089349998</c:v>
                </c:pt>
                <c:pt idx="167">
                  <c:v>74.898746476230002</c:v>
                </c:pt>
                <c:pt idx="168">
                  <c:v>76.204770869439997</c:v>
                </c:pt>
                <c:pt idx="169">
                  <c:v>80.086039187560004</c:v>
                </c:pt>
                <c:pt idx="170">
                  <c:v>82.223200894480001</c:v>
                </c:pt>
                <c:pt idx="171">
                  <c:v>86.426732016390005</c:v>
                </c:pt>
                <c:pt idx="172">
                  <c:v>85.175772722389993</c:v>
                </c:pt>
                <c:pt idx="173">
                  <c:v>76.339271573280001</c:v>
                </c:pt>
                <c:pt idx="174">
                  <c:v>77.038421632340004</c:v>
                </c:pt>
                <c:pt idx="175">
                  <c:v>71.591633735710005</c:v>
                </c:pt>
                <c:pt idx="176">
                  <c:v>75.564741995700004</c:v>
                </c:pt>
                <c:pt idx="177">
                  <c:v>72.67367319761</c:v>
                </c:pt>
                <c:pt idx="178">
                  <c:v>76.617646080699998</c:v>
                </c:pt>
                <c:pt idx="179">
                  <c:v>79.078663331640001</c:v>
                </c:pt>
                <c:pt idx="180">
                  <c:v>76.057828057839998</c:v>
                </c:pt>
                <c:pt idx="181">
                  <c:v>66.308740829269993</c:v>
                </c:pt>
                <c:pt idx="182">
                  <c:v>42.647247759599999</c:v>
                </c:pt>
                <c:pt idx="183">
                  <c:v>31.632310121780002</c:v>
                </c:pt>
                <c:pt idx="184">
                  <c:v>39.246875800890002</c:v>
                </c:pt>
                <c:pt idx="185">
                  <c:v>48.523159500200002</c:v>
                </c:pt>
                <c:pt idx="186">
                  <c:v>51.649745488199997</c:v>
                </c:pt>
                <c:pt idx="187">
                  <c:v>54.301745283290003</c:v>
                </c:pt>
                <c:pt idx="188">
                  <c:v>51.168817719720003</c:v>
                </c:pt>
                <c:pt idx="189">
                  <c:v>51.620793405160001</c:v>
                </c:pt>
                <c:pt idx="190">
                  <c:v>55.301815954589998</c:v>
                </c:pt>
                <c:pt idx="191">
                  <c:v>63.74668437007</c:v>
                </c:pt>
                <c:pt idx="192">
                  <c:v>69.882566118</c:v>
                </c:pt>
                <c:pt idx="193">
                  <c:v>80.381943473120003</c:v>
                </c:pt>
                <c:pt idx="194">
                  <c:v>80.765236734769999</c:v>
                </c:pt>
                <c:pt idx="195">
                  <c:v>80.801717665669997</c:v>
                </c:pt>
                <c:pt idx="196">
                  <c:v>86.284860809250006</c:v>
                </c:pt>
                <c:pt idx="197">
                  <c:v>93.918952779549997</c:v>
                </c:pt>
                <c:pt idx="198">
                  <c:v>98.289416530970001</c:v>
                </c:pt>
                <c:pt idx="199">
                  <c:v>96.323598931579994</c:v>
                </c:pt>
                <c:pt idx="200">
                  <c:v>107.17858644213</c:v>
                </c:pt>
                <c:pt idx="201">
                  <c:v>123.36989210288</c:v>
                </c:pt>
                <c:pt idx="202">
                  <c:v>115.00870344115</c:v>
                </c:pt>
                <c:pt idx="203">
                  <c:v>112.37295836686</c:v>
                </c:pt>
                <c:pt idx="204">
                  <c:v>121.30988558842</c:v>
                </c:pt>
                <c:pt idx="205">
                  <c:v>133.31424055374001</c:v>
                </c:pt>
                <c:pt idx="206">
                  <c:v>166.73239302763</c:v>
                </c:pt>
                <c:pt idx="207">
                  <c:v>153.18659162076</c:v>
                </c:pt>
                <c:pt idx="208">
                  <c:v>163.63299774551001</c:v>
                </c:pt>
                <c:pt idx="209">
                  <c:v>173.48221112800999</c:v>
                </c:pt>
                <c:pt idx="210">
                  <c:v>171.75250650948999</c:v>
                </c:pt>
                <c:pt idx="211">
                  <c:v>172.77086426624999</c:v>
                </c:pt>
                <c:pt idx="212">
                  <c:v>158.17363839615001</c:v>
                </c:pt>
                <c:pt idx="213">
                  <c:v>146.1725229079</c:v>
                </c:pt>
                <c:pt idx="214">
                  <c:v>139.44136053757001</c:v>
                </c:pt>
                <c:pt idx="215">
                  <c:v>130.91804770227</c:v>
                </c:pt>
                <c:pt idx="216">
                  <c:v>119.29483540626001</c:v>
                </c:pt>
                <c:pt idx="217">
                  <c:v>110.53012409471</c:v>
                </c:pt>
                <c:pt idx="218">
                  <c:v>103.46584154991</c:v>
                </c:pt>
                <c:pt idx="219">
                  <c:v>109.26437084516</c:v>
                </c:pt>
                <c:pt idx="220">
                  <c:v>96.907889415330004</c:v>
                </c:pt>
                <c:pt idx="221">
                  <c:v>95.174036364239996</c:v>
                </c:pt>
                <c:pt idx="222">
                  <c:v>100.85881612729</c:v>
                </c:pt>
                <c:pt idx="223">
                  <c:v>108.71200636355</c:v>
                </c:pt>
                <c:pt idx="224">
                  <c:v>117.72930651723</c:v>
                </c:pt>
                <c:pt idx="225">
                  <c:v>115.68359866876</c:v>
                </c:pt>
                <c:pt idx="226">
                  <c:v>106.19514291231</c:v>
                </c:pt>
                <c:pt idx="227">
                  <c:v>99.608161890199995</c:v>
                </c:pt>
                <c:pt idx="228">
                  <c:v>101.17928818347001</c:v>
                </c:pt>
                <c:pt idx="229">
                  <c:v>102.26184991178</c:v>
                </c:pt>
              </c:numCache>
            </c:numRef>
          </c:val>
          <c:smooth val="0"/>
          <c:extLst>
            <c:ext xmlns:c16="http://schemas.microsoft.com/office/drawing/2014/chart" uri="{C3380CC4-5D6E-409C-BE32-E72D297353CC}">
              <c16:uniqueId val="{00000000-247A-4552-95C9-03CED073F479}"/>
            </c:ext>
          </c:extLst>
        </c:ser>
        <c:ser>
          <c:idx val="1"/>
          <c:order val="1"/>
          <c:tx>
            <c:strRef>
              <c:f>Sheet4!$D$10</c:f>
              <c:strCache>
                <c:ptCount val="1"/>
                <c:pt idx="0">
                  <c:v>Fertilizers index</c:v>
                </c:pt>
              </c:strCache>
            </c:strRef>
          </c:tx>
          <c:spPr>
            <a:ln w="28575" cap="rnd">
              <a:solidFill>
                <a:srgbClr val="002060"/>
              </a:solidFill>
              <a:round/>
            </a:ln>
            <a:effectLst/>
          </c:spPr>
          <c:marker>
            <c:symbol val="none"/>
          </c:marker>
          <c:cat>
            <c:numRef>
              <c:f>Sheet4!$B$11:$B$240</c:f>
              <c:numCache>
                <c:formatCode>m/d/yyyy</c:formatCode>
                <c:ptCount val="230"/>
                <c:pt idx="0">
                  <c:v>38353</c:v>
                </c:pt>
                <c:pt idx="1">
                  <c:v>38384</c:v>
                </c:pt>
                <c:pt idx="2">
                  <c:v>38412</c:v>
                </c:pt>
                <c:pt idx="3">
                  <c:v>38443</c:v>
                </c:pt>
                <c:pt idx="4">
                  <c:v>38473</c:v>
                </c:pt>
                <c:pt idx="5">
                  <c:v>38504</c:v>
                </c:pt>
                <c:pt idx="6">
                  <c:v>38534</c:v>
                </c:pt>
                <c:pt idx="7">
                  <c:v>38565</c:v>
                </c:pt>
                <c:pt idx="8">
                  <c:v>38596</c:v>
                </c:pt>
                <c:pt idx="9">
                  <c:v>38626</c:v>
                </c:pt>
                <c:pt idx="10">
                  <c:v>38657</c:v>
                </c:pt>
                <c:pt idx="11">
                  <c:v>38687</c:v>
                </c:pt>
                <c:pt idx="12">
                  <c:v>38718</c:v>
                </c:pt>
                <c:pt idx="13">
                  <c:v>38749</c:v>
                </c:pt>
                <c:pt idx="14">
                  <c:v>38777</c:v>
                </c:pt>
                <c:pt idx="15">
                  <c:v>38808</c:v>
                </c:pt>
                <c:pt idx="16">
                  <c:v>38838</c:v>
                </c:pt>
                <c:pt idx="17">
                  <c:v>38869</c:v>
                </c:pt>
                <c:pt idx="18">
                  <c:v>38899</c:v>
                </c:pt>
                <c:pt idx="19">
                  <c:v>38930</c:v>
                </c:pt>
                <c:pt idx="20">
                  <c:v>38961</c:v>
                </c:pt>
                <c:pt idx="21">
                  <c:v>38991</c:v>
                </c:pt>
                <c:pt idx="22">
                  <c:v>39022</c:v>
                </c:pt>
                <c:pt idx="23">
                  <c:v>39052</c:v>
                </c:pt>
                <c:pt idx="24">
                  <c:v>39083</c:v>
                </c:pt>
                <c:pt idx="25">
                  <c:v>39114</c:v>
                </c:pt>
                <c:pt idx="26">
                  <c:v>39142</c:v>
                </c:pt>
                <c:pt idx="27">
                  <c:v>39173</c:v>
                </c:pt>
                <c:pt idx="28">
                  <c:v>39203</c:v>
                </c:pt>
                <c:pt idx="29">
                  <c:v>39234</c:v>
                </c:pt>
                <c:pt idx="30">
                  <c:v>39264</c:v>
                </c:pt>
                <c:pt idx="31">
                  <c:v>39295</c:v>
                </c:pt>
                <c:pt idx="32">
                  <c:v>39326</c:v>
                </c:pt>
                <c:pt idx="33">
                  <c:v>39356</c:v>
                </c:pt>
                <c:pt idx="34">
                  <c:v>39387</c:v>
                </c:pt>
                <c:pt idx="35">
                  <c:v>39417</c:v>
                </c:pt>
                <c:pt idx="36">
                  <c:v>39448</c:v>
                </c:pt>
                <c:pt idx="37">
                  <c:v>39479</c:v>
                </c:pt>
                <c:pt idx="38">
                  <c:v>39508</c:v>
                </c:pt>
                <c:pt idx="39">
                  <c:v>39539</c:v>
                </c:pt>
                <c:pt idx="40">
                  <c:v>39569</c:v>
                </c:pt>
                <c:pt idx="41">
                  <c:v>39600</c:v>
                </c:pt>
                <c:pt idx="42">
                  <c:v>39630</c:v>
                </c:pt>
                <c:pt idx="43">
                  <c:v>39661</c:v>
                </c:pt>
                <c:pt idx="44">
                  <c:v>39692</c:v>
                </c:pt>
                <c:pt idx="45">
                  <c:v>39722</c:v>
                </c:pt>
                <c:pt idx="46">
                  <c:v>39753</c:v>
                </c:pt>
                <c:pt idx="47">
                  <c:v>39783</c:v>
                </c:pt>
                <c:pt idx="48">
                  <c:v>39814</c:v>
                </c:pt>
                <c:pt idx="49">
                  <c:v>39845</c:v>
                </c:pt>
                <c:pt idx="50">
                  <c:v>39873</c:v>
                </c:pt>
                <c:pt idx="51">
                  <c:v>39904</c:v>
                </c:pt>
                <c:pt idx="52">
                  <c:v>39934</c:v>
                </c:pt>
                <c:pt idx="53">
                  <c:v>39965</c:v>
                </c:pt>
                <c:pt idx="54">
                  <c:v>39995</c:v>
                </c:pt>
                <c:pt idx="55">
                  <c:v>40026</c:v>
                </c:pt>
                <c:pt idx="56">
                  <c:v>40057</c:v>
                </c:pt>
                <c:pt idx="57">
                  <c:v>40087</c:v>
                </c:pt>
                <c:pt idx="58">
                  <c:v>40118</c:v>
                </c:pt>
                <c:pt idx="59">
                  <c:v>40148</c:v>
                </c:pt>
                <c:pt idx="60">
                  <c:v>40179</c:v>
                </c:pt>
                <c:pt idx="61">
                  <c:v>40210</c:v>
                </c:pt>
                <c:pt idx="62">
                  <c:v>40238</c:v>
                </c:pt>
                <c:pt idx="63">
                  <c:v>40269</c:v>
                </c:pt>
                <c:pt idx="64">
                  <c:v>40299</c:v>
                </c:pt>
                <c:pt idx="65">
                  <c:v>40330</c:v>
                </c:pt>
                <c:pt idx="66">
                  <c:v>40360</c:v>
                </c:pt>
                <c:pt idx="67">
                  <c:v>40391</c:v>
                </c:pt>
                <c:pt idx="68">
                  <c:v>40422</c:v>
                </c:pt>
                <c:pt idx="69">
                  <c:v>40452</c:v>
                </c:pt>
                <c:pt idx="70">
                  <c:v>40483</c:v>
                </c:pt>
                <c:pt idx="71">
                  <c:v>40513</c:v>
                </c:pt>
                <c:pt idx="72">
                  <c:v>40544</c:v>
                </c:pt>
                <c:pt idx="73">
                  <c:v>40575</c:v>
                </c:pt>
                <c:pt idx="74">
                  <c:v>40603</c:v>
                </c:pt>
                <c:pt idx="75">
                  <c:v>40634</c:v>
                </c:pt>
                <c:pt idx="76">
                  <c:v>40664</c:v>
                </c:pt>
                <c:pt idx="77">
                  <c:v>40695</c:v>
                </c:pt>
                <c:pt idx="78">
                  <c:v>40725</c:v>
                </c:pt>
                <c:pt idx="79">
                  <c:v>40756</c:v>
                </c:pt>
                <c:pt idx="80">
                  <c:v>40787</c:v>
                </c:pt>
                <c:pt idx="81">
                  <c:v>40817</c:v>
                </c:pt>
                <c:pt idx="82">
                  <c:v>40848</c:v>
                </c:pt>
                <c:pt idx="83">
                  <c:v>40878</c:v>
                </c:pt>
                <c:pt idx="84">
                  <c:v>40909</c:v>
                </c:pt>
                <c:pt idx="85">
                  <c:v>40940</c:v>
                </c:pt>
                <c:pt idx="86">
                  <c:v>40969</c:v>
                </c:pt>
                <c:pt idx="87">
                  <c:v>41000</c:v>
                </c:pt>
                <c:pt idx="88">
                  <c:v>41030</c:v>
                </c:pt>
                <c:pt idx="89">
                  <c:v>41061</c:v>
                </c:pt>
                <c:pt idx="90">
                  <c:v>41091</c:v>
                </c:pt>
                <c:pt idx="91">
                  <c:v>41122</c:v>
                </c:pt>
                <c:pt idx="92">
                  <c:v>41153</c:v>
                </c:pt>
                <c:pt idx="93">
                  <c:v>41183</c:v>
                </c:pt>
                <c:pt idx="94">
                  <c:v>41214</c:v>
                </c:pt>
                <c:pt idx="95">
                  <c:v>41244</c:v>
                </c:pt>
                <c:pt idx="96">
                  <c:v>41275</c:v>
                </c:pt>
                <c:pt idx="97">
                  <c:v>41306</c:v>
                </c:pt>
                <c:pt idx="98">
                  <c:v>41334</c:v>
                </c:pt>
                <c:pt idx="99">
                  <c:v>41365</c:v>
                </c:pt>
                <c:pt idx="100">
                  <c:v>41395</c:v>
                </c:pt>
                <c:pt idx="101">
                  <c:v>41426</c:v>
                </c:pt>
                <c:pt idx="102">
                  <c:v>41456</c:v>
                </c:pt>
                <c:pt idx="103">
                  <c:v>41487</c:v>
                </c:pt>
                <c:pt idx="104">
                  <c:v>41518</c:v>
                </c:pt>
                <c:pt idx="105">
                  <c:v>41548</c:v>
                </c:pt>
                <c:pt idx="106">
                  <c:v>41579</c:v>
                </c:pt>
                <c:pt idx="107">
                  <c:v>41609</c:v>
                </c:pt>
                <c:pt idx="108">
                  <c:v>41640</c:v>
                </c:pt>
                <c:pt idx="109">
                  <c:v>41671</c:v>
                </c:pt>
                <c:pt idx="110">
                  <c:v>41699</c:v>
                </c:pt>
                <c:pt idx="111">
                  <c:v>41730</c:v>
                </c:pt>
                <c:pt idx="112">
                  <c:v>41760</c:v>
                </c:pt>
                <c:pt idx="113">
                  <c:v>41791</c:v>
                </c:pt>
                <c:pt idx="114">
                  <c:v>41821</c:v>
                </c:pt>
                <c:pt idx="115">
                  <c:v>41852</c:v>
                </c:pt>
                <c:pt idx="116">
                  <c:v>41883</c:v>
                </c:pt>
                <c:pt idx="117">
                  <c:v>41913</c:v>
                </c:pt>
                <c:pt idx="118">
                  <c:v>41944</c:v>
                </c:pt>
                <c:pt idx="119">
                  <c:v>41974</c:v>
                </c:pt>
                <c:pt idx="120">
                  <c:v>42005</c:v>
                </c:pt>
                <c:pt idx="121">
                  <c:v>42036</c:v>
                </c:pt>
                <c:pt idx="122">
                  <c:v>42064</c:v>
                </c:pt>
                <c:pt idx="123">
                  <c:v>42095</c:v>
                </c:pt>
                <c:pt idx="124">
                  <c:v>42125</c:v>
                </c:pt>
                <c:pt idx="125">
                  <c:v>42156</c:v>
                </c:pt>
                <c:pt idx="126">
                  <c:v>42186</c:v>
                </c:pt>
                <c:pt idx="127">
                  <c:v>42217</c:v>
                </c:pt>
                <c:pt idx="128">
                  <c:v>42248</c:v>
                </c:pt>
                <c:pt idx="129">
                  <c:v>42278</c:v>
                </c:pt>
                <c:pt idx="130">
                  <c:v>42309</c:v>
                </c:pt>
                <c:pt idx="131">
                  <c:v>42339</c:v>
                </c:pt>
                <c:pt idx="132">
                  <c:v>42370</c:v>
                </c:pt>
                <c:pt idx="133">
                  <c:v>42401</c:v>
                </c:pt>
                <c:pt idx="134">
                  <c:v>42430</c:v>
                </c:pt>
                <c:pt idx="135">
                  <c:v>42461</c:v>
                </c:pt>
                <c:pt idx="136">
                  <c:v>42491</c:v>
                </c:pt>
                <c:pt idx="137">
                  <c:v>42522</c:v>
                </c:pt>
                <c:pt idx="138">
                  <c:v>42552</c:v>
                </c:pt>
                <c:pt idx="139">
                  <c:v>42583</c:v>
                </c:pt>
                <c:pt idx="140">
                  <c:v>42614</c:v>
                </c:pt>
                <c:pt idx="141">
                  <c:v>42644</c:v>
                </c:pt>
                <c:pt idx="142">
                  <c:v>42675</c:v>
                </c:pt>
                <c:pt idx="143">
                  <c:v>42705</c:v>
                </c:pt>
                <c:pt idx="144">
                  <c:v>42736</c:v>
                </c:pt>
                <c:pt idx="145">
                  <c:v>42767</c:v>
                </c:pt>
                <c:pt idx="146">
                  <c:v>42795</c:v>
                </c:pt>
                <c:pt idx="147">
                  <c:v>42826</c:v>
                </c:pt>
                <c:pt idx="148">
                  <c:v>42856</c:v>
                </c:pt>
                <c:pt idx="149">
                  <c:v>42887</c:v>
                </c:pt>
                <c:pt idx="150">
                  <c:v>42917</c:v>
                </c:pt>
                <c:pt idx="151">
                  <c:v>42948</c:v>
                </c:pt>
                <c:pt idx="152">
                  <c:v>42979</c:v>
                </c:pt>
                <c:pt idx="153">
                  <c:v>43009</c:v>
                </c:pt>
                <c:pt idx="154">
                  <c:v>43040</c:v>
                </c:pt>
                <c:pt idx="155">
                  <c:v>43070</c:v>
                </c:pt>
                <c:pt idx="156">
                  <c:v>43101</c:v>
                </c:pt>
                <c:pt idx="157">
                  <c:v>43132</c:v>
                </c:pt>
                <c:pt idx="158">
                  <c:v>43160</c:v>
                </c:pt>
                <c:pt idx="159">
                  <c:v>43191</c:v>
                </c:pt>
                <c:pt idx="160">
                  <c:v>43221</c:v>
                </c:pt>
                <c:pt idx="161">
                  <c:v>43252</c:v>
                </c:pt>
                <c:pt idx="162">
                  <c:v>43282</c:v>
                </c:pt>
                <c:pt idx="163">
                  <c:v>43313</c:v>
                </c:pt>
                <c:pt idx="164">
                  <c:v>43344</c:v>
                </c:pt>
                <c:pt idx="165">
                  <c:v>43374</c:v>
                </c:pt>
                <c:pt idx="166">
                  <c:v>43405</c:v>
                </c:pt>
                <c:pt idx="167">
                  <c:v>43435</c:v>
                </c:pt>
                <c:pt idx="168">
                  <c:v>43466</c:v>
                </c:pt>
                <c:pt idx="169">
                  <c:v>43497</c:v>
                </c:pt>
                <c:pt idx="170">
                  <c:v>43525</c:v>
                </c:pt>
                <c:pt idx="171">
                  <c:v>43556</c:v>
                </c:pt>
                <c:pt idx="172">
                  <c:v>43586</c:v>
                </c:pt>
                <c:pt idx="173">
                  <c:v>43617</c:v>
                </c:pt>
                <c:pt idx="174">
                  <c:v>43647</c:v>
                </c:pt>
                <c:pt idx="175">
                  <c:v>43678</c:v>
                </c:pt>
                <c:pt idx="176">
                  <c:v>43709</c:v>
                </c:pt>
                <c:pt idx="177">
                  <c:v>43739</c:v>
                </c:pt>
                <c:pt idx="178">
                  <c:v>43770</c:v>
                </c:pt>
                <c:pt idx="179">
                  <c:v>43800</c:v>
                </c:pt>
                <c:pt idx="180">
                  <c:v>43831</c:v>
                </c:pt>
                <c:pt idx="181">
                  <c:v>43862</c:v>
                </c:pt>
                <c:pt idx="182">
                  <c:v>43891</c:v>
                </c:pt>
                <c:pt idx="183">
                  <c:v>43922</c:v>
                </c:pt>
                <c:pt idx="184">
                  <c:v>43952</c:v>
                </c:pt>
                <c:pt idx="185">
                  <c:v>43983</c:v>
                </c:pt>
                <c:pt idx="186">
                  <c:v>44013</c:v>
                </c:pt>
                <c:pt idx="187">
                  <c:v>44044</c:v>
                </c:pt>
                <c:pt idx="188">
                  <c:v>44075</c:v>
                </c:pt>
                <c:pt idx="189">
                  <c:v>44105</c:v>
                </c:pt>
                <c:pt idx="190">
                  <c:v>44136</c:v>
                </c:pt>
                <c:pt idx="191">
                  <c:v>44166</c:v>
                </c:pt>
                <c:pt idx="192">
                  <c:v>44197</c:v>
                </c:pt>
                <c:pt idx="193">
                  <c:v>44228</c:v>
                </c:pt>
                <c:pt idx="194">
                  <c:v>44256</c:v>
                </c:pt>
                <c:pt idx="195">
                  <c:v>44287</c:v>
                </c:pt>
                <c:pt idx="196">
                  <c:v>44317</c:v>
                </c:pt>
                <c:pt idx="197">
                  <c:v>44348</c:v>
                </c:pt>
                <c:pt idx="198">
                  <c:v>44378</c:v>
                </c:pt>
                <c:pt idx="199">
                  <c:v>44409</c:v>
                </c:pt>
                <c:pt idx="200">
                  <c:v>44440</c:v>
                </c:pt>
                <c:pt idx="201">
                  <c:v>44470</c:v>
                </c:pt>
                <c:pt idx="202">
                  <c:v>44501</c:v>
                </c:pt>
                <c:pt idx="203">
                  <c:v>44531</c:v>
                </c:pt>
                <c:pt idx="204">
                  <c:v>44562</c:v>
                </c:pt>
                <c:pt idx="205">
                  <c:v>44593</c:v>
                </c:pt>
                <c:pt idx="206">
                  <c:v>44621</c:v>
                </c:pt>
                <c:pt idx="207">
                  <c:v>44652</c:v>
                </c:pt>
                <c:pt idx="208">
                  <c:v>44682</c:v>
                </c:pt>
                <c:pt idx="209">
                  <c:v>44713</c:v>
                </c:pt>
                <c:pt idx="210">
                  <c:v>44743</c:v>
                </c:pt>
                <c:pt idx="211">
                  <c:v>44774</c:v>
                </c:pt>
                <c:pt idx="212">
                  <c:v>44805</c:v>
                </c:pt>
                <c:pt idx="213">
                  <c:v>44835</c:v>
                </c:pt>
                <c:pt idx="214">
                  <c:v>44866</c:v>
                </c:pt>
                <c:pt idx="215">
                  <c:v>44896</c:v>
                </c:pt>
                <c:pt idx="216">
                  <c:v>44927</c:v>
                </c:pt>
                <c:pt idx="217">
                  <c:v>44958</c:v>
                </c:pt>
                <c:pt idx="218">
                  <c:v>44986</c:v>
                </c:pt>
                <c:pt idx="219">
                  <c:v>45017</c:v>
                </c:pt>
                <c:pt idx="220">
                  <c:v>45047</c:v>
                </c:pt>
                <c:pt idx="221">
                  <c:v>45078</c:v>
                </c:pt>
                <c:pt idx="222">
                  <c:v>45108</c:v>
                </c:pt>
                <c:pt idx="223">
                  <c:v>45139</c:v>
                </c:pt>
                <c:pt idx="224">
                  <c:v>45170</c:v>
                </c:pt>
                <c:pt idx="225">
                  <c:v>45200</c:v>
                </c:pt>
                <c:pt idx="226">
                  <c:v>45231</c:v>
                </c:pt>
                <c:pt idx="227">
                  <c:v>45261</c:v>
                </c:pt>
                <c:pt idx="228">
                  <c:v>45292</c:v>
                </c:pt>
                <c:pt idx="229">
                  <c:v>45323</c:v>
                </c:pt>
              </c:numCache>
            </c:numRef>
          </c:cat>
          <c:val>
            <c:numRef>
              <c:f>Sheet4!$D$11:$D$240</c:f>
              <c:numCache>
                <c:formatCode>0.00</c:formatCode>
                <c:ptCount val="230"/>
                <c:pt idx="0">
                  <c:v>54.164907839030001</c:v>
                </c:pt>
                <c:pt idx="1">
                  <c:v>54.329486218189999</c:v>
                </c:pt>
                <c:pt idx="2">
                  <c:v>58.819613736530002</c:v>
                </c:pt>
                <c:pt idx="3">
                  <c:v>62.39740458779</c:v>
                </c:pt>
                <c:pt idx="4">
                  <c:v>64.361799034049994</c:v>
                </c:pt>
                <c:pt idx="5">
                  <c:v>58.844907964370002</c:v>
                </c:pt>
                <c:pt idx="6">
                  <c:v>59.456835045879998</c:v>
                </c:pt>
                <c:pt idx="7">
                  <c:v>57.549810099189997</c:v>
                </c:pt>
                <c:pt idx="8">
                  <c:v>57.796864936840002</c:v>
                </c:pt>
                <c:pt idx="9">
                  <c:v>58.530312061350003</c:v>
                </c:pt>
                <c:pt idx="10">
                  <c:v>62.229938676789999</c:v>
                </c:pt>
                <c:pt idx="11">
                  <c:v>59.206705407469997</c:v>
                </c:pt>
                <c:pt idx="12">
                  <c:v>57.550188243329998</c:v>
                </c:pt>
                <c:pt idx="13">
                  <c:v>59.206705407469997</c:v>
                </c:pt>
                <c:pt idx="14">
                  <c:v>63.370022595510001</c:v>
                </c:pt>
                <c:pt idx="15">
                  <c:v>63.99046146749</c:v>
                </c:pt>
                <c:pt idx="16">
                  <c:v>61.414452054580003</c:v>
                </c:pt>
                <c:pt idx="17">
                  <c:v>58.6237751906</c:v>
                </c:pt>
                <c:pt idx="18">
                  <c:v>58.367873992630003</c:v>
                </c:pt>
                <c:pt idx="19">
                  <c:v>60.295365164819998</c:v>
                </c:pt>
                <c:pt idx="20">
                  <c:v>60.957256472300003</c:v>
                </c:pt>
                <c:pt idx="21">
                  <c:v>60.109320040550003</c:v>
                </c:pt>
                <c:pt idx="22">
                  <c:v>62.710373989419999</c:v>
                </c:pt>
                <c:pt idx="23">
                  <c:v>66.38540254438</c:v>
                </c:pt>
                <c:pt idx="24">
                  <c:v>68.407048204749998</c:v>
                </c:pt>
                <c:pt idx="25">
                  <c:v>73.752100149110007</c:v>
                </c:pt>
                <c:pt idx="26">
                  <c:v>78.676881446630006</c:v>
                </c:pt>
                <c:pt idx="27">
                  <c:v>77.376888151179998</c:v>
                </c:pt>
                <c:pt idx="28">
                  <c:v>79.844413786559997</c:v>
                </c:pt>
                <c:pt idx="29">
                  <c:v>80.623100672709995</c:v>
                </c:pt>
                <c:pt idx="30">
                  <c:v>77.420977860830007</c:v>
                </c:pt>
                <c:pt idx="31">
                  <c:v>77.427630680259995</c:v>
                </c:pt>
                <c:pt idx="32">
                  <c:v>87.133298784429996</c:v>
                </c:pt>
                <c:pt idx="33">
                  <c:v>92.910703024759997</c:v>
                </c:pt>
                <c:pt idx="34">
                  <c:v>100.17608634827999</c:v>
                </c:pt>
                <c:pt idx="35">
                  <c:v>106.55685775284</c:v>
                </c:pt>
                <c:pt idx="36">
                  <c:v>109.91639173969</c:v>
                </c:pt>
                <c:pt idx="37">
                  <c:v>114.3351027766</c:v>
                </c:pt>
                <c:pt idx="38">
                  <c:v>128.77000980207001</c:v>
                </c:pt>
                <c:pt idx="39">
                  <c:v>174.06530962720001</c:v>
                </c:pt>
                <c:pt idx="40">
                  <c:v>213.04042394248</c:v>
                </c:pt>
                <c:pt idx="41">
                  <c:v>214.56865970122001</c:v>
                </c:pt>
                <c:pt idx="42">
                  <c:v>239.63922629375</c:v>
                </c:pt>
                <c:pt idx="43">
                  <c:v>256.05522873852999</c:v>
                </c:pt>
                <c:pt idx="44">
                  <c:v>245.37345815242</c:v>
                </c:pt>
                <c:pt idx="45">
                  <c:v>242.16448559007</c:v>
                </c:pt>
                <c:pt idx="46">
                  <c:v>180.64833892442999</c:v>
                </c:pt>
                <c:pt idx="47">
                  <c:v>162.44473706721001</c:v>
                </c:pt>
                <c:pt idx="48">
                  <c:v>164.15376487467</c:v>
                </c:pt>
                <c:pt idx="49">
                  <c:v>165.59260471911</c:v>
                </c:pt>
                <c:pt idx="50">
                  <c:v>168.55288169239</c:v>
                </c:pt>
                <c:pt idx="51">
                  <c:v>142.70543158016</c:v>
                </c:pt>
                <c:pt idx="52">
                  <c:v>132.28813214058999</c:v>
                </c:pt>
                <c:pt idx="53">
                  <c:v>119.83838118735</c:v>
                </c:pt>
                <c:pt idx="54">
                  <c:v>99.305281892709999</c:v>
                </c:pt>
                <c:pt idx="55">
                  <c:v>95.282554161899995</c:v>
                </c:pt>
                <c:pt idx="56">
                  <c:v>86.165006946250003</c:v>
                </c:pt>
                <c:pt idx="57">
                  <c:v>87.760698287409994</c:v>
                </c:pt>
                <c:pt idx="58">
                  <c:v>87.973621273790002</c:v>
                </c:pt>
                <c:pt idx="59">
                  <c:v>90.819794948199998</c:v>
                </c:pt>
                <c:pt idx="60">
                  <c:v>92.950925229579994</c:v>
                </c:pt>
                <c:pt idx="61">
                  <c:v>96.69123089563</c:v>
                </c:pt>
                <c:pt idx="62">
                  <c:v>95.003246376489997</c:v>
                </c:pt>
                <c:pt idx="63">
                  <c:v>92.46111912296</c:v>
                </c:pt>
                <c:pt idx="64">
                  <c:v>88.180663695389995</c:v>
                </c:pt>
                <c:pt idx="65">
                  <c:v>85.400787873759995</c:v>
                </c:pt>
                <c:pt idx="66">
                  <c:v>92.290988251399995</c:v>
                </c:pt>
                <c:pt idx="67">
                  <c:v>98.26055790433</c:v>
                </c:pt>
                <c:pt idx="68">
                  <c:v>107.41757334552</c:v>
                </c:pt>
                <c:pt idx="69">
                  <c:v>112.34859694017</c:v>
                </c:pt>
                <c:pt idx="70">
                  <c:v>118.15945731259001</c:v>
                </c:pt>
                <c:pt idx="71">
                  <c:v>120.83485305219</c:v>
                </c:pt>
                <c:pt idx="72">
                  <c:v>120.67260400446</c:v>
                </c:pt>
                <c:pt idx="73">
                  <c:v>115.47620323965999</c:v>
                </c:pt>
                <c:pt idx="74">
                  <c:v>111.73001285908001</c:v>
                </c:pt>
                <c:pt idx="75">
                  <c:v>110.52139944702</c:v>
                </c:pt>
                <c:pt idx="76">
                  <c:v>108.35564802136</c:v>
                </c:pt>
                <c:pt idx="77">
                  <c:v>146.01848169352999</c:v>
                </c:pt>
                <c:pt idx="78">
                  <c:v>153.44880925391001</c:v>
                </c:pt>
                <c:pt idx="79">
                  <c:v>155.85325518966999</c:v>
                </c:pt>
                <c:pt idx="80">
                  <c:v>160.61171702185001</c:v>
                </c:pt>
                <c:pt idx="81">
                  <c:v>160.81943238104</c:v>
                </c:pt>
                <c:pt idx="82">
                  <c:v>158.78996767637</c:v>
                </c:pt>
                <c:pt idx="83">
                  <c:v>149.11074290464001</c:v>
                </c:pt>
                <c:pt idx="84">
                  <c:v>138.55776269622999</c:v>
                </c:pt>
                <c:pt idx="85">
                  <c:v>139.32665972583001</c:v>
                </c:pt>
                <c:pt idx="86">
                  <c:v>136.90574068751999</c:v>
                </c:pt>
                <c:pt idx="87">
                  <c:v>154.33703779472</c:v>
                </c:pt>
                <c:pt idx="88">
                  <c:v>161.10366070360999</c:v>
                </c:pt>
                <c:pt idx="89">
                  <c:v>152.75350487304999</c:v>
                </c:pt>
                <c:pt idx="90">
                  <c:v>118.63775599333999</c:v>
                </c:pt>
                <c:pt idx="91">
                  <c:v>140.40886073761999</c:v>
                </c:pt>
                <c:pt idx="92">
                  <c:v>140.67719505146999</c:v>
                </c:pt>
                <c:pt idx="93">
                  <c:v>134.99042302858001</c:v>
                </c:pt>
                <c:pt idx="94">
                  <c:v>138.4240247523</c:v>
                </c:pt>
                <c:pt idx="95">
                  <c:v>136.61751968479001</c:v>
                </c:pt>
                <c:pt idx="96">
                  <c:v>131.81737763805</c:v>
                </c:pt>
                <c:pt idx="97">
                  <c:v>136.40502217246001</c:v>
                </c:pt>
                <c:pt idx="98">
                  <c:v>129.71429142939999</c:v>
                </c:pt>
                <c:pt idx="99">
                  <c:v>117.31720084841</c:v>
                </c:pt>
                <c:pt idx="100">
                  <c:v>123.66371024963</c:v>
                </c:pt>
                <c:pt idx="101">
                  <c:v>114.44710171192</c:v>
                </c:pt>
                <c:pt idx="102">
                  <c:v>110.33137653439999</c:v>
                </c:pt>
                <c:pt idx="103">
                  <c:v>107.22577872806001</c:v>
                </c:pt>
                <c:pt idx="104">
                  <c:v>102.13922505734</c:v>
                </c:pt>
                <c:pt idx="105">
                  <c:v>98.313099263340007</c:v>
                </c:pt>
                <c:pt idx="106">
                  <c:v>99.749110902629994</c:v>
                </c:pt>
                <c:pt idx="107">
                  <c:v>101.24974297873</c:v>
                </c:pt>
                <c:pt idx="108">
                  <c:v>105.66526447645001</c:v>
                </c:pt>
                <c:pt idx="109">
                  <c:v>105.60942788654999</c:v>
                </c:pt>
                <c:pt idx="110">
                  <c:v>102.59859795257999</c:v>
                </c:pt>
                <c:pt idx="111">
                  <c:v>94.908379076420005</c:v>
                </c:pt>
                <c:pt idx="112">
                  <c:v>96.031122354429996</c:v>
                </c:pt>
                <c:pt idx="113">
                  <c:v>99.498795057570007</c:v>
                </c:pt>
                <c:pt idx="114">
                  <c:v>100.48395111002</c:v>
                </c:pt>
                <c:pt idx="115">
                  <c:v>101.43514409269</c:v>
                </c:pt>
                <c:pt idx="116">
                  <c:v>102.7868339775</c:v>
                </c:pt>
                <c:pt idx="117">
                  <c:v>103.52714580171001</c:v>
                </c:pt>
                <c:pt idx="118">
                  <c:v>103.34969326874</c:v>
                </c:pt>
                <c:pt idx="119">
                  <c:v>101.78104062012</c:v>
                </c:pt>
                <c:pt idx="120">
                  <c:v>101.36218939862999</c:v>
                </c:pt>
                <c:pt idx="121">
                  <c:v>101.69905265602</c:v>
                </c:pt>
                <c:pt idx="122">
                  <c:v>100.88430969039</c:v>
                </c:pt>
                <c:pt idx="123">
                  <c:v>95.158320248180004</c:v>
                </c:pt>
                <c:pt idx="124">
                  <c:v>95.407252734599993</c:v>
                </c:pt>
                <c:pt idx="125">
                  <c:v>100.1885932898</c:v>
                </c:pt>
                <c:pt idx="126">
                  <c:v>99.809176704590001</c:v>
                </c:pt>
                <c:pt idx="127">
                  <c:v>98.435188720059998</c:v>
                </c:pt>
                <c:pt idx="128">
                  <c:v>99.606520300130001</c:v>
                </c:pt>
                <c:pt idx="129">
                  <c:v>95.468772380299995</c:v>
                </c:pt>
                <c:pt idx="130">
                  <c:v>96.557487953000006</c:v>
                </c:pt>
                <c:pt idx="131">
                  <c:v>96.247985088730005</c:v>
                </c:pt>
                <c:pt idx="132">
                  <c:v>90.317309417550007</c:v>
                </c:pt>
                <c:pt idx="133">
                  <c:v>80.300488038340006</c:v>
                </c:pt>
                <c:pt idx="134">
                  <c:v>81.997441773839995</c:v>
                </c:pt>
                <c:pt idx="135">
                  <c:v>81.363097265459999</c:v>
                </c:pt>
                <c:pt idx="136">
                  <c:v>81.086965085049997</c:v>
                </c:pt>
                <c:pt idx="137">
                  <c:v>72.541038788240002</c:v>
                </c:pt>
                <c:pt idx="138">
                  <c:v>76.654630313690006</c:v>
                </c:pt>
                <c:pt idx="139">
                  <c:v>72.694756736459993</c:v>
                </c:pt>
                <c:pt idx="140">
                  <c:v>73.051258687759997</c:v>
                </c:pt>
                <c:pt idx="141">
                  <c:v>72.966390474869996</c:v>
                </c:pt>
                <c:pt idx="142">
                  <c:v>74.510439542049994</c:v>
                </c:pt>
                <c:pt idx="143">
                  <c:v>75.02915253434</c:v>
                </c:pt>
                <c:pt idx="144">
                  <c:v>76.793307016870003</c:v>
                </c:pt>
                <c:pt idx="145">
                  <c:v>76.753583796170005</c:v>
                </c:pt>
                <c:pt idx="146">
                  <c:v>76.447869763550003</c:v>
                </c:pt>
                <c:pt idx="147">
                  <c:v>73.741388256739995</c:v>
                </c:pt>
                <c:pt idx="148">
                  <c:v>68.505598524489997</c:v>
                </c:pt>
                <c:pt idx="149">
                  <c:v>70.258716041610001</c:v>
                </c:pt>
                <c:pt idx="150">
                  <c:v>68.915606141059996</c:v>
                </c:pt>
                <c:pt idx="151">
                  <c:v>70.748488451539998</c:v>
                </c:pt>
                <c:pt idx="152">
                  <c:v>74.076017197780004</c:v>
                </c:pt>
                <c:pt idx="153">
                  <c:v>78.086943412170001</c:v>
                </c:pt>
                <c:pt idx="154">
                  <c:v>82.675083951839994</c:v>
                </c:pt>
                <c:pt idx="155">
                  <c:v>74.099408336219994</c:v>
                </c:pt>
                <c:pt idx="156">
                  <c:v>75.453350792280006</c:v>
                </c:pt>
                <c:pt idx="157">
                  <c:v>77.696081634310005</c:v>
                </c:pt>
                <c:pt idx="158">
                  <c:v>78.275211040900004</c:v>
                </c:pt>
                <c:pt idx="159">
                  <c:v>78.591844487700001</c:v>
                </c:pt>
                <c:pt idx="160">
                  <c:v>77.396362959599998</c:v>
                </c:pt>
                <c:pt idx="161">
                  <c:v>78.030450758840004</c:v>
                </c:pt>
                <c:pt idx="162">
                  <c:v>82.635482415140004</c:v>
                </c:pt>
                <c:pt idx="163">
                  <c:v>84.565610824309999</c:v>
                </c:pt>
                <c:pt idx="164">
                  <c:v>86.697247362390002</c:v>
                </c:pt>
                <c:pt idx="165">
                  <c:v>88.151800389140007</c:v>
                </c:pt>
                <c:pt idx="166">
                  <c:v>93.117536273029998</c:v>
                </c:pt>
                <c:pt idx="167">
                  <c:v>89.428145317759999</c:v>
                </c:pt>
                <c:pt idx="168">
                  <c:v>86.819084444469993</c:v>
                </c:pt>
                <c:pt idx="169">
                  <c:v>84.839744147600001</c:v>
                </c:pt>
                <c:pt idx="170">
                  <c:v>84.278479661039995</c:v>
                </c:pt>
                <c:pt idx="171">
                  <c:v>84.706147273179994</c:v>
                </c:pt>
                <c:pt idx="172">
                  <c:v>84.422420923930005</c:v>
                </c:pt>
                <c:pt idx="173">
                  <c:v>83.78403663812</c:v>
                </c:pt>
                <c:pt idx="174">
                  <c:v>82.705190209039998</c:v>
                </c:pt>
                <c:pt idx="175">
                  <c:v>81.745422620900001</c:v>
                </c:pt>
                <c:pt idx="176">
                  <c:v>77.83964961817</c:v>
                </c:pt>
                <c:pt idx="177">
                  <c:v>77.732315892640003</c:v>
                </c:pt>
                <c:pt idx="178">
                  <c:v>75.042712872829995</c:v>
                </c:pt>
                <c:pt idx="179">
                  <c:v>72.627905574500005</c:v>
                </c:pt>
                <c:pt idx="180">
                  <c:v>72.275573404849993</c:v>
                </c:pt>
                <c:pt idx="181">
                  <c:v>70.935763976770005</c:v>
                </c:pt>
                <c:pt idx="182">
                  <c:v>72.725842118000003</c:v>
                </c:pt>
                <c:pt idx="183">
                  <c:v>72.212884931120001</c:v>
                </c:pt>
                <c:pt idx="184">
                  <c:v>67.816830163640006</c:v>
                </c:pt>
                <c:pt idx="185">
                  <c:v>68.242463535439995</c:v>
                </c:pt>
                <c:pt idx="186">
                  <c:v>71.958505101919997</c:v>
                </c:pt>
                <c:pt idx="187">
                  <c:v>78.254439603099996</c:v>
                </c:pt>
                <c:pt idx="188">
                  <c:v>79.598975038549995</c:v>
                </c:pt>
                <c:pt idx="189">
                  <c:v>79.776018089649995</c:v>
                </c:pt>
                <c:pt idx="190">
                  <c:v>80.015066567420007</c:v>
                </c:pt>
                <c:pt idx="191">
                  <c:v>81.486027742239997</c:v>
                </c:pt>
                <c:pt idx="192">
                  <c:v>86.169961047819996</c:v>
                </c:pt>
                <c:pt idx="193">
                  <c:v>105.40850987147</c:v>
                </c:pt>
                <c:pt idx="194">
                  <c:v>111.34130941277</c:v>
                </c:pt>
                <c:pt idx="195">
                  <c:v>110.22171376656</c:v>
                </c:pt>
                <c:pt idx="196">
                  <c:v>116.71356304587999</c:v>
                </c:pt>
                <c:pt idx="197">
                  <c:v>135.52292685902</c:v>
                </c:pt>
                <c:pt idx="198">
                  <c:v>153.04351839274</c:v>
                </c:pt>
                <c:pt idx="199">
                  <c:v>159.47205225677999</c:v>
                </c:pt>
                <c:pt idx="200">
                  <c:v>160.70982363293001</c:v>
                </c:pt>
                <c:pt idx="201">
                  <c:v>205.52768747217999</c:v>
                </c:pt>
                <c:pt idx="202">
                  <c:v>240.01298018969999</c:v>
                </c:pt>
                <c:pt idx="203">
                  <c:v>243.54553505383001</c:v>
                </c:pt>
                <c:pt idx="204">
                  <c:v>234.71371880052999</c:v>
                </c:pt>
                <c:pt idx="205">
                  <c:v>220.68307368837</c:v>
                </c:pt>
                <c:pt idx="206">
                  <c:v>257.68080411925001</c:v>
                </c:pt>
                <c:pt idx="207">
                  <c:v>293.72620755679998</c:v>
                </c:pt>
                <c:pt idx="208">
                  <c:v>259.92346497495998</c:v>
                </c:pt>
                <c:pt idx="209">
                  <c:v>252.96807184635</c:v>
                </c:pt>
                <c:pt idx="210">
                  <c:v>240.38059208640999</c:v>
                </c:pt>
                <c:pt idx="211">
                  <c:v>229.62608492721</c:v>
                </c:pt>
                <c:pt idx="212">
                  <c:v>232.72306502517</c:v>
                </c:pt>
                <c:pt idx="213">
                  <c:v>217.90065530935999</c:v>
                </c:pt>
                <c:pt idx="214">
                  <c:v>201.86678620782001</c:v>
                </c:pt>
                <c:pt idx="215">
                  <c:v>186.64187671065</c:v>
                </c:pt>
                <c:pt idx="216">
                  <c:v>174.66418152917001</c:v>
                </c:pt>
                <c:pt idx="217">
                  <c:v>163.96145133399</c:v>
                </c:pt>
                <c:pt idx="218">
                  <c:v>158.03962271366001</c:v>
                </c:pt>
                <c:pt idx="219">
                  <c:v>155.97461761129</c:v>
                </c:pt>
                <c:pt idx="220">
                  <c:v>152.47222347004001</c:v>
                </c:pt>
                <c:pt idx="221">
                  <c:v>138.29417795264999</c:v>
                </c:pt>
                <c:pt idx="222">
                  <c:v>145.64947689349</c:v>
                </c:pt>
                <c:pt idx="223">
                  <c:v>157.5811001175</c:v>
                </c:pt>
                <c:pt idx="224">
                  <c:v>157.52381276327</c:v>
                </c:pt>
                <c:pt idx="225">
                  <c:v>161.7776388799</c:v>
                </c:pt>
                <c:pt idx="226">
                  <c:v>157.15584430553</c:v>
                </c:pt>
                <c:pt idx="227">
                  <c:v>119.36419171522</c:v>
                </c:pt>
                <c:pt idx="228">
                  <c:v>115.92994014282</c:v>
                </c:pt>
                <c:pt idx="229">
                  <c:v>117.99761755097001</c:v>
                </c:pt>
              </c:numCache>
            </c:numRef>
          </c:val>
          <c:smooth val="0"/>
          <c:extLst>
            <c:ext xmlns:c16="http://schemas.microsoft.com/office/drawing/2014/chart" uri="{C3380CC4-5D6E-409C-BE32-E72D297353CC}">
              <c16:uniqueId val="{00000001-247A-4552-95C9-03CED073F479}"/>
            </c:ext>
          </c:extLst>
        </c:ser>
        <c:dLbls>
          <c:showLegendKey val="0"/>
          <c:showVal val="0"/>
          <c:showCatName val="0"/>
          <c:showSerName val="0"/>
          <c:showPercent val="0"/>
          <c:showBubbleSize val="0"/>
        </c:dLbls>
        <c:smooth val="0"/>
        <c:axId val="483110208"/>
        <c:axId val="483110536"/>
      </c:lineChart>
      <c:dateAx>
        <c:axId val="483110208"/>
        <c:scaling>
          <c:orientation val="minMax"/>
        </c:scaling>
        <c:delete val="0"/>
        <c:axPos val="b"/>
        <c:majorGridlines>
          <c:spPr>
            <a:ln w="9525" cap="flat" cmpd="sng" algn="ctr">
              <a:solidFill>
                <a:schemeClr val="bg1"/>
              </a:solidFill>
              <a:round/>
            </a:ln>
            <a:effectLst/>
          </c:spPr>
        </c:majorGridlines>
        <c:numFmt formatCode="[$-409]mmm\-yy;@" sourceLinked="0"/>
        <c:majorTickMark val="in"/>
        <c:minorTickMark val="none"/>
        <c:tickLblPos val="nextTo"/>
        <c:spPr>
          <a:noFill/>
          <a:ln w="9525"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536"/>
        <c:crosses val="autoZero"/>
        <c:auto val="1"/>
        <c:lblOffset val="100"/>
        <c:baseTimeUnit val="months"/>
        <c:majorUnit val="9"/>
        <c:majorTimeUnit val="months"/>
        <c:minorUnit val="10"/>
        <c:minorTimeUnit val="years"/>
      </c:dateAx>
      <c:valAx>
        <c:axId val="483110536"/>
        <c:scaling>
          <c:orientation val="minMax"/>
        </c:scaling>
        <c:delete val="0"/>
        <c:axPos val="l"/>
        <c:majorGridlines>
          <c:spPr>
            <a:ln w="9525" cap="flat" cmpd="sng" algn="ctr">
              <a:solidFill>
                <a:schemeClr val="bg1"/>
              </a:solidFill>
              <a:round/>
            </a:ln>
            <a:effectLst/>
          </c:spPr>
        </c:majorGridlines>
        <c:numFmt formatCode="0" sourceLinked="0"/>
        <c:majorTickMark val="in"/>
        <c:minorTickMark val="none"/>
        <c:tickLblPos val="nextTo"/>
        <c:spPr>
          <a:noFill/>
          <a:ln>
            <a:solidFill>
              <a:schemeClr val="tx1"/>
            </a:solidFill>
          </a:ln>
          <a:effectLst>
            <a:softEdge rad="50800"/>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83110208"/>
        <c:crosses val="autoZero"/>
        <c:crossBetween val="between"/>
      </c:valAx>
      <c:spPr>
        <a:solidFill>
          <a:schemeClr val="bg2"/>
        </a:solidFill>
        <a:ln>
          <a:noFill/>
        </a:ln>
        <a:effectLst/>
      </c:spPr>
    </c:plotArea>
    <c:legend>
      <c:legendPos val="t"/>
      <c:overlay val="0"/>
      <c:spPr>
        <a:solidFill>
          <a:schemeClr val="bg2"/>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9</Pages>
  <Words>9893</Words>
  <Characters>56396</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66157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119</cp:revision>
  <dcterms:created xsi:type="dcterms:W3CDTF">2025-02-21T09:16:00Z</dcterms:created>
  <dcterms:modified xsi:type="dcterms:W3CDTF">2025-11-17T08:16:00Z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c1fd35f2-f3f9-40dd-bc75-3b27c332dad8</vt:lpwstr>
  </property>
</Properties>
</file>