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66040</wp:posOffset>
            </wp:positionV>
            <wp:extent cx="2390140" cy="77665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7766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5838190</wp:posOffset>
            </wp:positionH>
            <wp:positionV relativeFrom="page">
              <wp:posOffset>8985250</wp:posOffset>
            </wp:positionV>
            <wp:extent cx="533400" cy="790575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90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8" w:lineRule="exact" w:before="0" w:after="0"/>
        <w:ind w:left="2448" w:right="2448" w:firstLine="0"/>
        <w:jc w:val="center"/>
      </w:pPr>
      <w:r>
        <w:rPr>
          <w:rFonts w:ascii="MicrosoftSansSerif,Bold" w:hAnsi="MicrosoftSansSerif,Bold" w:eastAsia="MicrosoftSansSerif,Bold"/>
          <w:b/>
          <w:i w:val="0"/>
          <w:color w:val="000000"/>
          <w:sz w:val="22"/>
        </w:rPr>
        <w:t xml:space="preserve">Consejo Superior de la Judicatura </w:t>
      </w:r>
      <w:r>
        <w:br/>
      </w:r>
      <w:r>
        <w:rPr>
          <w:rFonts w:ascii="MicrosoftSansSerif,Bold" w:hAnsi="MicrosoftSansSerif,Bold" w:eastAsia="MicrosoftSansSerif,Bold"/>
          <w:b/>
          <w:i w:val="0"/>
          <w:color w:val="000000"/>
          <w:sz w:val="22"/>
        </w:rPr>
        <w:t>Consejo Seccional de la Judicatura de Sucre</w:t>
      </w:r>
    </w:p>
    <w:p>
      <w:pPr>
        <w:autoSpaceDN w:val="0"/>
        <w:autoSpaceDE w:val="0"/>
        <w:widowControl/>
        <w:spacing w:line="276" w:lineRule="exact" w:before="768" w:after="0"/>
        <w:ind w:left="262" w:right="648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CSJSUO23-514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Sincelejo, junio 21, 2023</w:t>
      </w:r>
    </w:p>
    <w:p>
      <w:pPr>
        <w:autoSpaceDN w:val="0"/>
        <w:autoSpaceDE w:val="0"/>
        <w:widowControl/>
        <w:spacing w:line="276" w:lineRule="exact" w:before="276" w:after="0"/>
        <w:ind w:left="262" w:right="5040" w:firstLine="0"/>
        <w:jc w:val="left"/>
      </w:pPr>
      <w:r>
        <w:rPr>
          <w:rFonts w:ascii="Arial" w:hAnsi="Arial" w:eastAsia="Arial"/>
          <w:b w:val="0"/>
          <w:i w:val="0"/>
          <w:color w:val="FFFFFF"/>
          <w:sz w:val="24"/>
        </w:rPr>
        <w:t xml:space="preserve">]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Doctora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4"/>
        </w:rPr>
        <w:t xml:space="preserve">NELLY MELISSA ORTIZ POLANCO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Juez Promiscuo Municipal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276" w:lineRule="exact" w:before="276" w:after="0"/>
        <w:ind w:left="4798" w:right="864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>Asunto</w:t>
      </w:r>
      <w:r>
        <w:rPr>
          <w:rFonts w:ascii="Arial" w:hAnsi="Arial" w:eastAsia="Arial"/>
          <w:b w:val="0"/>
          <w:i w:val="0"/>
          <w:color w:val="000000"/>
          <w:sz w:val="24"/>
        </w:rPr>
        <w:t>:</w:t>
      </w:r>
      <w:r>
        <w:rPr>
          <w:rFonts w:ascii="Arial,Italic" w:hAnsi="Arial,Italic" w:eastAsia="Arial,Italic"/>
          <w:b w:val="0"/>
          <w:i/>
          <w:color w:val="000000"/>
          <w:sz w:val="24"/>
        </w:rPr>
        <w:t xml:space="preserve"> “Respuesta a Solicitud de </w:t>
      </w:r>
      <w:r>
        <w:br/>
      </w:r>
      <w:r>
        <w:rPr>
          <w:rFonts w:ascii="Arial,Italic" w:hAnsi="Arial,Italic" w:eastAsia="Arial,Italic"/>
          <w:b w:val="0"/>
          <w:i/>
          <w:color w:val="000000"/>
          <w:sz w:val="24"/>
        </w:rPr>
        <w:t xml:space="preserve">prórroga para enviar lista de </w:t>
      </w:r>
      <w:r>
        <w:br/>
      </w:r>
      <w:r>
        <w:rPr>
          <w:rFonts w:ascii="Arial,Italic" w:hAnsi="Arial,Italic" w:eastAsia="Arial,Italic"/>
          <w:b w:val="0"/>
          <w:i/>
          <w:color w:val="000000"/>
          <w:sz w:val="24"/>
        </w:rPr>
        <w:t>providencias del año 2022”</w:t>
      </w:r>
    </w:p>
    <w:p>
      <w:pPr>
        <w:autoSpaceDN w:val="0"/>
        <w:autoSpaceDE w:val="0"/>
        <w:widowControl/>
        <w:spacing w:line="268" w:lineRule="exact" w:before="284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Respetada Doctora:</w:t>
      </w:r>
    </w:p>
    <w:p>
      <w:pPr>
        <w:autoSpaceDN w:val="0"/>
        <w:autoSpaceDE w:val="0"/>
        <w:widowControl/>
        <w:spacing w:line="276" w:lineRule="exact" w:before="276" w:after="0"/>
        <w:ind w:left="262" w:right="278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En atención a su oficio 0296 de junio 15 de 2023, le indicamos que la información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del listado de los procesos debe remitirse antes de la fecha indicada por usted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pues nos encontramos en estos momentos en las labores de consolidación de la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calificación integral de servicios de los ustedes y nuestro plazo para realizarlo 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perentorio hasta el momento, de tal manera que es necesario que nos remita el </w:t>
      </w:r>
      <w:r>
        <w:rPr>
          <w:rFonts w:ascii="Arial" w:hAnsi="Arial" w:eastAsia="Arial"/>
          <w:b w:val="0"/>
          <w:i w:val="0"/>
          <w:color w:val="000000"/>
          <w:sz w:val="24"/>
        </w:rPr>
        <w:t>listado antes de la fecha ese listado.</w:t>
      </w:r>
    </w:p>
    <w:p>
      <w:pPr>
        <w:autoSpaceDN w:val="0"/>
        <w:autoSpaceDE w:val="0"/>
        <w:widowControl/>
        <w:spacing w:line="268" w:lineRule="exact" w:before="284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240" w:lineRule="auto" w:before="828" w:after="0"/>
        <w:ind w:left="2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52500" cy="1082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82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262" w:right="3024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4"/>
        </w:rPr>
        <w:t xml:space="preserve">ROZANA BEATRIZ ABELLO ALBINO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Presidenta Consejo Seccional de la Judicatura de Sucre</w:t>
      </w:r>
    </w:p>
    <w:p>
      <w:pPr>
        <w:autoSpaceDN w:val="0"/>
        <w:autoSpaceDE w:val="0"/>
        <w:widowControl/>
        <w:spacing w:line="178" w:lineRule="exact" w:before="282" w:after="2456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RBAA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90"/>
        <w:gridCol w:w="4690"/>
      </w:tblGrid>
      <w:tr>
        <w:trPr>
          <w:trHeight w:hRule="exact" w:val="890"/>
        </w:trPr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8" w:after="0"/>
              <w:ind w:left="142" w:right="144" w:firstLine="0"/>
              <w:jc w:val="left"/>
            </w:pPr>
            <w:r>
              <w:rPr>
                <w:rFonts w:ascii="MicrosoftSansSerif" w:hAnsi="MicrosoftSansSerif" w:eastAsia="MicrosoftSansSerif"/>
                <w:b w:val="0"/>
                <w:i w:val="0"/>
                <w:color w:val="000000"/>
                <w:sz w:val="22"/>
              </w:rPr>
              <w:t xml:space="preserve">Carrera 17 No. 22-24 Piso 4º Palacio de Justicia torre C. Sincelejo - Sucre </w:t>
            </w:r>
            <w:r>
              <w:rPr>
                <w:rFonts w:ascii="MicrosoftSansSerif" w:hAnsi="MicrosoftSansSerif" w:eastAsia="MicrosoftSansSerif"/>
                <w:b w:val="0"/>
                <w:i w:val="0"/>
                <w:color w:val="000000"/>
                <w:sz w:val="22"/>
              </w:rPr>
              <w:t xml:space="preserve">Tel. 275 4780 Ext 1273. E-mail saladmconsecsucre@cendoj.ramajudicial.gov.co </w:t>
            </w:r>
            <w:r>
              <w:rPr>
                <w:rFonts w:ascii="MicrosoftSansSerif" w:hAnsi="MicrosoftSansSerif" w:eastAsia="MicrosoftSansSerif"/>
                <w:b w:val="0"/>
                <w:i w:val="0"/>
                <w:color w:val="000000"/>
                <w:sz w:val="22"/>
              </w:rPr>
              <w:t>www.ramajudicial.gov.co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57200" cy="4762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76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64" w:lineRule="exact" w:before="238" w:after="0"/>
        <w:ind w:left="7794" w:right="864" w:firstLine="0"/>
        <w:jc w:val="left"/>
      </w:pPr>
      <w:r>
        <w:rPr>
          <w:w w:val="97.1947465624128"/>
          <w:rFonts w:ascii="Arial" w:hAnsi="Arial" w:eastAsia="Arial"/>
          <w:b w:val="0"/>
          <w:i w:val="0"/>
          <w:color w:val="000000"/>
          <w:sz w:val="14"/>
        </w:rPr>
        <w:t>SC5780-4-</w:t>
      </w:r>
      <w:r>
        <w:br/>
      </w:r>
      <w:r>
        <w:rPr>
          <w:w w:val="97.1947465624128"/>
          <w:rFonts w:ascii="Arial" w:hAnsi="Arial" w:eastAsia="Arial"/>
          <w:b w:val="0"/>
          <w:i w:val="0"/>
          <w:color w:val="000000"/>
          <w:sz w:val="14"/>
        </w:rPr>
        <w:t>23</w:t>
      </w:r>
    </w:p>
    <w:sectPr w:rsidR="00FC693F" w:rsidRPr="0006063C" w:rsidSect="00034616">
      <w:pgSz w:w="12242" w:h="15842"/>
      <w:pgMar w:top="356" w:right="1422" w:bottom="30" w:left="1440" w:header="720" w:footer="720" w:gutter="0"/>
      <w:cols w:space="720" w:num="1" w:equalWidth="0">
        <w:col w:w="93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