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 或 常规计算</w:t>
      </w:r>
      <w:bookmarkStart w:id="0" w:name="_GoBack"/>
      <w:bookmarkEnd w:id="0"/>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"https://github.com/whoenig/libMultiRobotPlanning" </w:instrText>
      </w:r>
      <w:r>
        <w:rPr>
          <w:rFonts w:hint="eastAsia"/>
          <w:lang w:val="en-US" w:eastAsia="zh-CN"/>
        </w:rPr>
        <w:fldChar w:fldCharType="separate"/>
      </w:r>
      <w:r>
        <w:rPr>
          <w:rStyle w:val="6"/>
          <w:rFonts w:hint="eastAsia"/>
          <w:lang w:val="en-US" w:eastAsia="zh-CN"/>
        </w:rPr>
        <w:t>https://github.com/whoenig/libMultiRobotPlanning</w:t>
      </w:r>
      <w:r>
        <w:rPr>
          <w:rFonts w:hint="eastAsia"/>
          <w:lang w:val="en-US" w:eastAsia="zh-CN"/>
        </w:rPr>
        <w:fldChar w:fldCharType="end"/>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"https://github.com/Jiaoyang-Li/PBS" </w:instrText>
      </w:r>
      <w:r>
        <w:rPr>
          <w:rFonts w:hint="eastAsia"/>
          <w:lang w:val="en-US" w:eastAsia="zh-CN"/>
        </w:rPr>
        <w:fldChar w:fldCharType="separate"/>
      </w:r>
      <w:r>
        <w:rPr>
          <w:rStyle w:val="6"/>
          <w:rFonts w:hint="eastAsia"/>
          <w:lang w:val="en-US" w:eastAsia="zh-CN"/>
        </w:rPr>
        <w:t>https://github.com/Jiaoyang-Li/PBS</w:t>
      </w:r>
      <w:r>
        <w:rPr>
          <w:rFonts w:hint="eastAsia"/>
          <w:lang w:val="en-US" w:eastAsia="zh-CN"/>
        </w:rPr>
        <w:fldChar w:fldCharType="end"/>
      </w:r>
    </w:p>
    <w:p>
      <w:pPr>
        <w:keepNext w:val="0"/>
        <w:keepLines w:val="0"/>
        <w:widowControl/>
        <w:numPr>
          <w:ilvl w:val="0"/>
          <w:numId w:val="9"/>
        </w:numPr>
        <w:suppressLineNumbers w:val="0"/>
        <w:ind w:firstLine="420" w:firstLineChars="0"/>
        <w:jc w:val="left"/>
        <w:rPr>
          <w:rStyle w:val="6"/>
          <w:rFonts w:hint="default"/>
          <w:lang w:val="en-US" w:eastAsia="zh-CN"/>
        </w:rPr>
      </w:pPr>
      <w:r>
        <w:rPr>
          <w:rStyle w:val="6"/>
          <w:rFonts w:hint="default"/>
          <w:lang w:val="en-US" w:eastAsia="zh-CN"/>
        </w:rPr>
        <w:t>https://github.com/perfectly-balanced/PathBench</w:t>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F59084C"/>
    <w:multiLevelType w:val="singleLevel"/>
    <w:tmpl w:val="8F59084C"/>
    <w:lvl w:ilvl="0" w:tentative="0">
      <w:start w:val="1"/>
      <w:numFmt w:val="decimal"/>
      <w:suff w:val="nothing"/>
      <w:lvlText w:val="（%1）"/>
      <w:lvlJc w:val="left"/>
    </w:lvl>
  </w:abstractNum>
  <w:abstractNum w:abstractNumId="2">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A14E6E4"/>
    <w:multiLevelType w:val="singleLevel"/>
    <w:tmpl w:val="DA14E6E4"/>
    <w:lvl w:ilvl="0" w:tentative="0">
      <w:start w:val="1"/>
      <w:numFmt w:val="decimal"/>
      <w:suff w:val="nothing"/>
      <w:lvlText w:val="（%1）"/>
      <w:lvlJc w:val="left"/>
    </w:lvl>
  </w:abstractNum>
  <w:abstractNum w:abstractNumId="7">
    <w:nsid w:val="F716320A"/>
    <w:multiLevelType w:val="singleLevel"/>
    <w:tmpl w:val="F716320A"/>
    <w:lvl w:ilvl="0" w:tentative="0">
      <w:start w:val="2"/>
      <w:numFmt w:val="decimal"/>
      <w:suff w:val="space"/>
      <w:lvlText w:val="%1."/>
      <w:lvlJc w:val="left"/>
    </w:lvl>
  </w:abstractNum>
  <w:abstractNum w:abstractNumId="8">
    <w:nsid w:val="F9564BD8"/>
    <w:multiLevelType w:val="singleLevel"/>
    <w:tmpl w:val="F9564BD8"/>
    <w:lvl w:ilvl="0" w:tentative="0">
      <w:start w:val="1"/>
      <w:numFmt w:val="decimal"/>
      <w:suff w:val="space"/>
      <w:lvlText w:val="(%1)"/>
      <w:lvlJc w:val="left"/>
    </w:lvl>
  </w:abstractNum>
  <w:abstractNum w:abstractNumId="9">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32058991"/>
    <w:multiLevelType w:val="singleLevel"/>
    <w:tmpl w:val="32058991"/>
    <w:lvl w:ilvl="0" w:tentative="0">
      <w:start w:val="1"/>
      <w:numFmt w:val="decimal"/>
      <w:suff w:val="space"/>
      <w:lvlText w:val="(%1)"/>
      <w:lvlJc w:val="left"/>
    </w:lvl>
  </w:abstractNum>
  <w:abstractNum w:abstractNumId="11">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5DE4EBB2"/>
    <w:multiLevelType w:val="singleLevel"/>
    <w:tmpl w:val="5DE4EBB2"/>
    <w:lvl w:ilvl="0" w:tentative="0">
      <w:start w:val="1"/>
      <w:numFmt w:val="decimal"/>
      <w:suff w:val="space"/>
      <w:lvlText w:val="%1."/>
      <w:lvlJc w:val="left"/>
    </w:lvl>
  </w:abstractNum>
  <w:abstractNum w:abstractNumId="14">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6B5ABFBE"/>
    <w:multiLevelType w:val="singleLevel"/>
    <w:tmpl w:val="6B5ABFBE"/>
    <w:lvl w:ilvl="0" w:tentative="0">
      <w:start w:val="1"/>
      <w:numFmt w:val="decimal"/>
      <w:suff w:val="space"/>
      <w:lvlText w:val="%1."/>
      <w:lvlJc w:val="left"/>
    </w:lvl>
  </w:abstractNum>
  <w:num w:numId="1">
    <w:abstractNumId w:val="13"/>
  </w:num>
  <w:num w:numId="2">
    <w:abstractNumId w:val="7"/>
  </w:num>
  <w:num w:numId="3">
    <w:abstractNumId w:val="5"/>
  </w:num>
  <w:num w:numId="4">
    <w:abstractNumId w:val="2"/>
  </w:num>
  <w:num w:numId="5">
    <w:abstractNumId w:val="3"/>
  </w:num>
  <w:num w:numId="6">
    <w:abstractNumId w:val="6"/>
  </w:num>
  <w:num w:numId="7">
    <w:abstractNumId w:val="4"/>
  </w:num>
  <w:num w:numId="8">
    <w:abstractNumId w:val="9"/>
  </w:num>
  <w:num w:numId="9">
    <w:abstractNumId w:val="8"/>
  </w:num>
  <w:num w:numId="10">
    <w:abstractNumId w:val="14"/>
  </w:num>
  <w:num w:numId="11">
    <w:abstractNumId w:val="0"/>
  </w:num>
  <w:num w:numId="12">
    <w:abstractNumId w:val="11"/>
  </w:num>
  <w:num w:numId="13">
    <w:abstractNumId w:val="15"/>
  </w:num>
  <w:num w:numId="14">
    <w:abstractNumId w:val="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CC2953"/>
    <w:rsid w:val="10035D30"/>
    <w:rsid w:val="106B39BD"/>
    <w:rsid w:val="11631E42"/>
    <w:rsid w:val="129E4474"/>
    <w:rsid w:val="13B3793C"/>
    <w:rsid w:val="14901187"/>
    <w:rsid w:val="15FD03F4"/>
    <w:rsid w:val="16502FF8"/>
    <w:rsid w:val="16B64315"/>
    <w:rsid w:val="16F62BD7"/>
    <w:rsid w:val="18AC1387"/>
    <w:rsid w:val="18AD3550"/>
    <w:rsid w:val="1AB81F2D"/>
    <w:rsid w:val="1C200F54"/>
    <w:rsid w:val="1CDD058A"/>
    <w:rsid w:val="20E77DAE"/>
    <w:rsid w:val="215931D7"/>
    <w:rsid w:val="219A5F3E"/>
    <w:rsid w:val="21A353DB"/>
    <w:rsid w:val="228F78BD"/>
    <w:rsid w:val="22AB0249"/>
    <w:rsid w:val="234E27D8"/>
    <w:rsid w:val="242A50DE"/>
    <w:rsid w:val="24515F01"/>
    <w:rsid w:val="24B24109"/>
    <w:rsid w:val="24DB49A7"/>
    <w:rsid w:val="250A71FF"/>
    <w:rsid w:val="25B93A69"/>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DC5BAF"/>
    <w:rsid w:val="3FF97644"/>
    <w:rsid w:val="41F841DE"/>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4EA05CA"/>
    <w:rsid w:val="55016AD9"/>
    <w:rsid w:val="56D1190A"/>
    <w:rsid w:val="56E62DCC"/>
    <w:rsid w:val="56F46EB8"/>
    <w:rsid w:val="57CB4B8C"/>
    <w:rsid w:val="57DE7A56"/>
    <w:rsid w:val="580D42C6"/>
    <w:rsid w:val="596D3EBE"/>
    <w:rsid w:val="59A102DE"/>
    <w:rsid w:val="5B5C13D9"/>
    <w:rsid w:val="5B7D6950"/>
    <w:rsid w:val="5B8830DE"/>
    <w:rsid w:val="5C487EAB"/>
    <w:rsid w:val="5C97277A"/>
    <w:rsid w:val="5CB93A9B"/>
    <w:rsid w:val="5CD0495B"/>
    <w:rsid w:val="5D082BF9"/>
    <w:rsid w:val="5D780C72"/>
    <w:rsid w:val="5F077ED0"/>
    <w:rsid w:val="6149051B"/>
    <w:rsid w:val="63515B07"/>
    <w:rsid w:val="651A6430"/>
    <w:rsid w:val="66296AA9"/>
    <w:rsid w:val="66A82033"/>
    <w:rsid w:val="672A19C0"/>
    <w:rsid w:val="678C6DFA"/>
    <w:rsid w:val="67B13FC3"/>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7140872"/>
    <w:rsid w:val="778B227C"/>
    <w:rsid w:val="784D54E4"/>
    <w:rsid w:val="78CE2177"/>
    <w:rsid w:val="79321379"/>
    <w:rsid w:val="7AD706D6"/>
    <w:rsid w:val="7B115F25"/>
    <w:rsid w:val="7BB971A8"/>
    <w:rsid w:val="7D942F0D"/>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3832</Words>
  <Characters>11921</Characters>
  <Lines>0</Lines>
  <Paragraphs>0</Paragraphs>
  <TotalTime>980</TotalTime>
  <ScaleCrop>false</ScaleCrop>
  <LinksUpToDate>false</LinksUpToDate>
  <CharactersWithSpaces>13216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2023-04-06T06:00:31Z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E04EE6D1318F46638B5CCD0B8142106A</vt:lpwstr>
  </property>
</Properties>
</file>