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Imported Core Browser Project</w:t>
      </w:r>
    </w:p>
    <w:p>
      <w:r>
        <w:t>地块编号：CORE-BROWSER-IMPORT</w:t>
      </w:r>
    </w:p>
    <w:p>
      <w:r>
        <w:t>综合评分（百分制）：56.74分</w:t>
      </w:r>
    </w:p>
    <w:p>
      <w:r>
        <w:t>原始加权分：2.3149 / 4.0795</w:t>
      </w:r>
    </w:p>
    <w:p>
      <w:r>
        <w:t>联通等级：可连地块</w:t>
      </w:r>
    </w:p>
    <w:p>
      <w:r>
        <w:t>推荐方式：地下主通道</w:t>
      </w:r>
    </w:p>
    <w:p>
      <w:r>
        <w:t>数据完整度：3/6</w:t>
      </w:r>
    </w:p>
    <w:p>
      <w:pPr>
        <w:pStyle w:val="Heading1"/>
      </w:pPr>
      <w:r>
        <w:t>评分总览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综合评分（百分制）</w:t>
            </w:r>
          </w:p>
        </w:tc>
        <w:tc>
          <w:tcPr>
            <w:tcW w:type="dxa" w:w="4320"/>
          </w:tcPr>
          <w:p>
            <w:r>
              <w:t>56.74分</w:t>
            </w:r>
          </w:p>
        </w:tc>
      </w:tr>
      <w:tr>
        <w:tc>
          <w:tcPr>
            <w:tcW w:type="dxa" w:w="4320"/>
          </w:tcPr>
          <w:p>
            <w:r>
              <w:t>原始加权分</w:t>
            </w:r>
          </w:p>
        </w:tc>
        <w:tc>
          <w:tcPr>
            <w:tcW w:type="dxa" w:w="4320"/>
          </w:tcPr>
          <w:p>
            <w:r>
              <w:t>2.3149 / 4.0795</w:t>
            </w:r>
          </w:p>
        </w:tc>
      </w:tr>
      <w:tr>
        <w:tc>
          <w:tcPr>
            <w:tcW w:type="dxa" w:w="4320"/>
          </w:tcPr>
          <w:p>
            <w:r>
              <w:t>联通等级</w:t>
            </w:r>
          </w:p>
        </w:tc>
        <w:tc>
          <w:tcPr>
            <w:tcW w:type="dxa" w:w="4320"/>
          </w:tcPr>
          <w:p>
            <w:r>
              <w:t>可连地块</w:t>
            </w:r>
          </w:p>
        </w:tc>
      </w:tr>
      <w:tr>
        <w:tc>
          <w:tcPr>
            <w:tcW w:type="dxa" w:w="4320"/>
          </w:tcPr>
          <w:p>
            <w:r>
              <w:t>推荐方式</w:t>
            </w:r>
          </w:p>
        </w:tc>
        <w:tc>
          <w:tcPr>
            <w:tcW w:type="dxa" w:w="4320"/>
          </w:tcPr>
          <w:p>
            <w:r>
              <w:t>地下主通道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3/6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评分维度</w:t>
            </w:r>
          </w:p>
        </w:tc>
        <w:tc>
          <w:tcPr>
            <w:tcW w:type="dxa" w:w="1728"/>
          </w:tcPr>
          <w:p>
            <w:r>
              <w:t>加权得分</w:t>
            </w:r>
          </w:p>
        </w:tc>
        <w:tc>
          <w:tcPr>
            <w:tcW w:type="dxa" w:w="1728"/>
          </w:tcPr>
          <w:p>
            <w:r>
              <w:t>主要因子取值</w:t>
            </w:r>
          </w:p>
        </w:tc>
        <w:tc>
          <w:tcPr>
            <w:tcW w:type="dxa" w:w="1728"/>
          </w:tcPr>
          <w:p>
            <w:r>
              <w:t>来源依据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功能属性</w:t>
            </w:r>
          </w:p>
        </w:tc>
        <w:tc>
          <w:tcPr>
            <w:tcW w:type="dxa" w:w="1728"/>
          </w:tcPr>
          <w:p>
            <w:r>
              <w:t>0.4188</w:t>
            </w:r>
          </w:p>
        </w:tc>
        <w:tc>
          <w:tcPr>
            <w:tcW w:type="dxa" w:w="1728"/>
          </w:tcPr>
          <w:p>
            <w:r>
              <w:t>用地功能：正式地块资料待补齐，暂按保守 1 分试算（0.0795）；开发强度：正式地块资料待补齐，暂按保守 1 分试算（0.3393）</w:t>
            </w:r>
          </w:p>
        </w:tc>
        <w:tc>
          <w:tcPr>
            <w:tcW w:type="dxa" w:w="1728"/>
          </w:tcPr>
          <w:p>
            <w:r>
              <w:t>用地功能：缺正式地块用地性质；周边配套/地块名称仅作预评估线索；开发强度：缺建筑面积/容积率/开发强度正式指标</w:t>
            </w:r>
          </w:p>
        </w:tc>
        <w:tc>
          <w:tcPr>
            <w:tcW w:type="dxa" w:w="1728"/>
          </w:tcPr>
          <w:p>
            <w:r>
              <w:t>含临时试算：用地功能、开发强度</w:t>
            </w:r>
          </w:p>
        </w:tc>
      </w:tr>
      <w:tr>
        <w:tc>
          <w:tcPr>
            <w:tcW w:type="dxa" w:w="1728"/>
          </w:tcPr>
          <w:p>
            <w:r>
              <w:t>区位属性</w:t>
            </w:r>
          </w:p>
        </w:tc>
        <w:tc>
          <w:tcPr>
            <w:tcW w:type="dxa" w:w="1728"/>
          </w:tcPr>
          <w:p>
            <w:r>
              <w:t>0.5628</w:t>
            </w:r>
          </w:p>
        </w:tc>
        <w:tc>
          <w:tcPr>
            <w:tcW w:type="dxa" w:w="1728"/>
          </w:tcPr>
          <w:p>
            <w:r>
              <w:t>区位能级：城市级中心（0.5628）</w:t>
            </w:r>
          </w:p>
        </w:tc>
        <w:tc>
          <w:tcPr>
            <w:tcW w:type="dxa" w:w="1728"/>
          </w:tcPr>
          <w:p>
            <w:r>
              <w:t>区位能级：现有输入/预设数据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交通属性</w:t>
            </w:r>
          </w:p>
        </w:tc>
        <w:tc>
          <w:tcPr>
            <w:tcW w:type="dxa" w:w="1728"/>
          </w:tcPr>
          <w:p>
            <w:r>
              <w:t>1.1904</w:t>
            </w:r>
          </w:p>
        </w:tc>
        <w:tc>
          <w:tcPr>
            <w:tcW w:type="dxa" w:w="1728"/>
          </w:tcPr>
          <w:p>
            <w:r>
              <w:t>出行客流：日均进站量 9000 以上（1.0140）；高效换乘：现状换乘站（0.1764）</w:t>
            </w:r>
          </w:p>
        </w:tc>
        <w:tc>
          <w:tcPr>
            <w:tcW w:type="dxa" w:w="1728"/>
          </w:tcPr>
          <w:p>
            <w:r>
              <w:t>出行客流：每站每月日均进站.xlsx：2025-11日均进站；高效换乘：现有输入/预设数据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地下属性</w:t>
            </w:r>
          </w:p>
        </w:tc>
        <w:tc>
          <w:tcPr>
            <w:tcW w:type="dxa" w:w="1728"/>
          </w:tcPr>
          <w:p>
            <w:r>
              <w:t>0.1429</w:t>
            </w:r>
          </w:p>
        </w:tc>
        <w:tc>
          <w:tcPr>
            <w:tcW w:type="dxa" w:w="1728"/>
          </w:tcPr>
          <w:p>
            <w:r>
              <w:t>地下空间：正式地块资料待补齐，暂按保守 1 分试算（0.1429）</w:t>
            </w:r>
          </w:p>
        </w:tc>
        <w:tc>
          <w:tcPr>
            <w:tcW w:type="dxa" w:w="1728"/>
          </w:tcPr>
          <w:p>
            <w:r>
              <w:t>地下空间：有联通形式线索，缺地块地下空间正式条件</w:t>
            </w:r>
          </w:p>
        </w:tc>
        <w:tc>
          <w:tcPr>
            <w:tcW w:type="dxa" w:w="1728"/>
          </w:tcPr>
          <w:p>
            <w:r>
              <w:t>含临时试算：地下空间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客户报告生成提示</w:t>
      </w:r>
    </w:p>
    <w:p>
      <w:r>
        <w:t>当前尚未连接可用模型。系统已完成规则评分、资料检索和研究问题准备，但不会自动生成完整顾问式成果报告。请连接模型后重新运行评估，或在页面提示中确认使用离线兜底，由本地知识库和五类标杆案例生成客户报告初稿。</w:t>
      </w:r>
    </w:p>
    <w:p>
      <w:pPr>
        <w:pStyle w:val="Heading1"/>
      </w:pPr>
      <w:r>
        <w:t>资料补齐与复核事项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因子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land_use</w:t>
            </w:r>
          </w:p>
        </w:tc>
        <w:tc>
          <w:tcPr>
            <w:tcW w:type="dxa" w:w="2880"/>
          </w:tcPr>
          <w:p>
            <w:r>
              <w:t>用地功能</w:t>
            </w:r>
          </w:p>
        </w:tc>
        <w:tc>
          <w:tcPr>
            <w:tcW w:type="dxa" w:w="2880"/>
          </w:tcPr>
          <w:p>
            <w:r>
              <w:t>未提供具体地块用地性质；运营表中的地块名称和周边配套已作为背景线索入库，但不能等同正式用地功能评分。</w:t>
            </w:r>
          </w:p>
        </w:tc>
      </w:tr>
      <w:tr>
        <w:tc>
          <w:tcPr>
            <w:tcW w:type="dxa" w:w="2880"/>
          </w:tcPr>
          <w:p>
            <w:r>
              <w:t>development_intensity</w:t>
            </w:r>
          </w:p>
        </w:tc>
        <w:tc>
          <w:tcPr>
            <w:tcW w:type="dxa" w:w="2880"/>
          </w:tcPr>
          <w:p>
            <w:r>
              <w:t>开发强度</w:t>
            </w:r>
          </w:p>
        </w:tc>
        <w:tc>
          <w:tcPr>
            <w:tcW w:type="dxa" w:w="2880"/>
          </w:tcPr>
          <w:p>
            <w:r>
              <w:t>未提供建筑面积、用地面积、容积率或开发强度分档，当前按保守 1 分临时试算。</w:t>
            </w:r>
          </w:p>
        </w:tc>
      </w:tr>
      <w:tr>
        <w:tc>
          <w:tcPr>
            <w:tcW w:type="dxa" w:w="2880"/>
          </w:tcPr>
          <w:p>
            <w:r>
              <w:t>underground_space</w:t>
            </w:r>
          </w:p>
        </w:tc>
        <w:tc>
          <w:tcPr>
            <w:tcW w:type="dxa" w:w="2880"/>
          </w:tcPr>
          <w:p>
            <w:r>
              <w:t>地下空间</w:t>
            </w:r>
          </w:p>
        </w:tc>
        <w:tc>
          <w:tcPr>
            <w:tcW w:type="dxa" w:w="2880"/>
          </w:tcPr>
          <w:p>
            <w:r>
              <w:t>运营表已识别联通形式：地下通道；但未提供地块地下空间功能、开放属性和接口标高，暂不作为地下空间因子正式赋值。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