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EBD3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/>
        <w:jc w:val="center"/>
        <w:textAlignment w:val="auto"/>
        <w:rPr>
          <w:rFonts w:hint="eastAsia" w:eastAsia="宋体"/>
          <w:color w:val="1F2329"/>
          <w:sz w:val="24"/>
          <w:szCs w:val="24"/>
          <w:lang w:val="en-US" w:eastAsia="zh-CN"/>
        </w:rPr>
      </w:pPr>
      <w:r>
        <w:rPr>
          <w:rFonts w:hint="eastAsia"/>
          <w:color w:val="1F2329"/>
          <w:sz w:val="24"/>
          <w:szCs w:val="24"/>
          <w:lang w:val="en-US" w:eastAsia="zh-CN"/>
        </w:rPr>
        <w:t>互联互通智能体研发</w:t>
      </w:r>
      <w:r>
        <w:rPr>
          <w:color w:val="1F2329"/>
          <w:sz w:val="24"/>
          <w:szCs w:val="24"/>
        </w:rPr>
        <w:t>工作</w:t>
      </w:r>
      <w:r>
        <w:rPr>
          <w:rFonts w:hint="eastAsia"/>
          <w:color w:val="1F2329"/>
          <w:sz w:val="24"/>
          <w:szCs w:val="24"/>
          <w:lang w:val="en-US" w:eastAsia="zh-CN"/>
        </w:rPr>
        <w:t>方案</w:t>
      </w:r>
    </w:p>
    <w:p w14:paraId="1B59F638"/>
    <w:p w14:paraId="0CD1CED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第一阶段：核心成果拆解与数字化基础梳理</w:t>
      </w:r>
    </w:p>
    <w:p w14:paraId="19037B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0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本阶段为项目基础工作，核心是完成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相关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课题成果的全维度拆解、标准化与交叉校验，形成智能体开发的底层数据基础。</w:t>
      </w:r>
    </w:p>
    <w:p w14:paraId="384B133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核心工作内容</w:t>
      </w:r>
    </w:p>
    <w:p w14:paraId="0AF5A91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标准化术语字典构建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全面梳理 4 份成果中的所有专业术语，包括站点分级、地块分类、联通空间类型、技术参数等，明确术语的内涵、外延与适用场景，形成统一的专业术语字典，解决多文档术语不一致的问题。</w:t>
      </w:r>
    </w:p>
    <w:p w14:paraId="35EBA22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条文分级拆解与规则分类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对所有条文进行强制性与引导性拆分：</w:t>
      </w:r>
    </w:p>
    <w:p w14:paraId="68B871B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1</w:t>
      </w:r>
      <w:r>
        <w:rPr>
          <w:rFonts w:hint="eastAsia"/>
          <w:color w:val="1F2329"/>
          <w:sz w:val="24"/>
          <w:szCs w:val="24"/>
          <w:lang w:eastAsia="zh-CN"/>
        </w:rPr>
        <w:t>）强制性规则：梳理防火疏散、结构安全、无障碍、人防、净宽净高、消防通道等国家强条及地方强制性管理要求，形成不可突破的底层强制规则库；</w:t>
      </w:r>
    </w:p>
    <w:p w14:paraId="5A7FE03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2</w:t>
      </w:r>
      <w:r>
        <w:rPr>
          <w:rFonts w:hint="eastAsia"/>
          <w:color w:val="1F2329"/>
          <w:sz w:val="24"/>
          <w:szCs w:val="24"/>
          <w:lang w:eastAsia="zh-CN"/>
        </w:rPr>
        <w:t>）引导性规则：梳理空间品质、人性化设计、风貌控制、商业配套等引导性要求，标注适用场景、推荐值、优先级，形成弹性引导规则库。</w:t>
      </w:r>
    </w:p>
    <w:p w14:paraId="74338A5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站点与地块分类标签体系搭建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基于导则成果，固化标准化分类标签体系，作为智能体的核心输入项：</w:t>
      </w:r>
    </w:p>
    <w:p w14:paraId="6FA45F5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1</w:t>
      </w:r>
      <w:r>
        <w:rPr>
          <w:rFonts w:hint="eastAsia"/>
          <w:color w:val="1F2329"/>
          <w:sz w:val="24"/>
          <w:szCs w:val="24"/>
          <w:lang w:eastAsia="zh-CN"/>
        </w:rPr>
        <w:t>）</w:t>
      </w:r>
      <w:r>
        <w:rPr>
          <w:color w:val="1F2329"/>
          <w:sz w:val="24"/>
          <w:szCs w:val="24"/>
        </w:rPr>
        <w:t xml:space="preserve">站点标签：3 级建设区域（城市级 / </w:t>
      </w:r>
      <w:r>
        <w:rPr>
          <w:rFonts w:hint="eastAsia"/>
          <w:color w:val="1F2329"/>
          <w:sz w:val="24"/>
          <w:szCs w:val="24"/>
          <w:lang w:val="en-US" w:eastAsia="zh-CN"/>
        </w:rPr>
        <w:t>分</w:t>
      </w:r>
      <w:r>
        <w:rPr>
          <w:color w:val="1F2329"/>
          <w:sz w:val="24"/>
          <w:szCs w:val="24"/>
        </w:rPr>
        <w:t xml:space="preserve">区级 / </w:t>
      </w:r>
      <w:r>
        <w:rPr>
          <w:rFonts w:hint="eastAsia"/>
          <w:color w:val="1F2329"/>
          <w:sz w:val="24"/>
          <w:szCs w:val="24"/>
          <w:lang w:val="en-US" w:eastAsia="zh-CN"/>
        </w:rPr>
        <w:t>组团</w:t>
      </w:r>
      <w:r>
        <w:rPr>
          <w:color w:val="1F2329"/>
          <w:sz w:val="24"/>
          <w:szCs w:val="24"/>
        </w:rPr>
        <w:t>级）、7 类功能类型（商服类 / 产业类 / 居住类 / 枢纽类 / 文创教育类 / 古城文旅类 / 生态游憩类）、站点能级（换乘站 / 一般站 / 端头站）、建设状态（新建 / 既有改造）；</w:t>
      </w:r>
    </w:p>
    <w:p w14:paraId="136B7C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2</w:t>
      </w:r>
      <w:r>
        <w:rPr>
          <w:rFonts w:hint="eastAsia"/>
          <w:color w:val="1F2329"/>
          <w:sz w:val="24"/>
          <w:szCs w:val="24"/>
          <w:lang w:eastAsia="zh-CN"/>
        </w:rPr>
        <w:t>）</w:t>
      </w:r>
      <w:r>
        <w:rPr>
          <w:color w:val="1F2329"/>
          <w:sz w:val="24"/>
          <w:szCs w:val="24"/>
        </w:rPr>
        <w:t>地块标签：2 个圈层（200m 核心开发区 / 200-500m 规划引导区）、用地业态（交通枢纽 / 商业 / 办公 / 公服 / 医疗 / 教育 / 居住 / 工业等）、开发强度（建筑面积分级）、地下空间现状（有无 / 功能类型）、建设状态（新建 / 既有）。</w:t>
      </w:r>
    </w:p>
    <w:p w14:paraId="5C0E0F3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全要素拆解与冲突校验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将 4 份成果拆解为「必要性评估」「联通方式选型」「空间设计参数」「一体化设计要求」「人性化设施配置」「风貌管控」6 大模块，形成最小数据单元的拆解数据库；同时交叉校验多份文档中技术参数、管控要求的不一致内容，结合规范与项目实践进行统一，出具冲突校验与统一说明，确保专业逻辑的唯一性。</w:t>
      </w:r>
    </w:p>
    <w:p w14:paraId="7F5BA1E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</w:p>
    <w:p w14:paraId="10C0D8E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第二阶段：联通必要性评估算法模型构建</w:t>
      </w:r>
    </w:p>
    <w:p w14:paraId="79A5E1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0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本阶段为智能体核心算法开发，核心是将《站点周边联通必要性评价体系》研究成果，转化为可被智能体执行的标准化、参数化算法模型，实现联通必要性的自动评估与分级判定。</w:t>
      </w:r>
    </w:p>
    <w:p w14:paraId="1B1E474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核心工作内容</w:t>
      </w:r>
    </w:p>
    <w:p w14:paraId="20097D1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评估指标体系标准化固化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基于研究成果，固化 4 大一级维度、10 项二级指标的评估体系，明确每个指标的输入项、数据来源、赋值标准、计算方式：</w:t>
      </w:r>
    </w:p>
    <w:p w14:paraId="6F4576F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1</w:t>
      </w:r>
      <w:r>
        <w:rPr>
          <w:rFonts w:hint="eastAsia"/>
          <w:color w:val="1F2329"/>
          <w:sz w:val="24"/>
          <w:szCs w:val="24"/>
          <w:lang w:eastAsia="zh-CN"/>
        </w:rPr>
        <w:t>）功能属性维度：明确地块公共属性、开发强度两大次级指标的赋值标准，细化不同业态、不同建筑面积对应的量化赋值；</w:t>
      </w:r>
    </w:p>
    <w:p w14:paraId="2388FC6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2</w:t>
      </w:r>
      <w:r>
        <w:rPr>
          <w:rFonts w:hint="eastAsia"/>
          <w:color w:val="1F2329"/>
          <w:sz w:val="24"/>
          <w:szCs w:val="24"/>
          <w:lang w:eastAsia="zh-CN"/>
        </w:rPr>
        <w:t>）区位属性维度：明确苏州城市级 / 片区级 / 社区级中心的空间范围，对应不同能级的赋值标准；</w:t>
      </w:r>
    </w:p>
    <w:p w14:paraId="01AD378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3</w:t>
      </w:r>
      <w:r>
        <w:rPr>
          <w:rFonts w:hint="eastAsia"/>
          <w:color w:val="1F2329"/>
          <w:sz w:val="24"/>
          <w:szCs w:val="24"/>
          <w:lang w:eastAsia="zh-CN"/>
        </w:rPr>
        <w:t>）交通属性维度：明确站点客流量、换乘衔接性、出入口数量三大次级指标的赋值标准，细化现状换乘站 / 规划换乘站 / 一般站、不同高峰小时客流量对应的量化赋值；</w:t>
      </w:r>
    </w:p>
    <w:p w14:paraId="51A24B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4</w:t>
      </w:r>
      <w:r>
        <w:rPr>
          <w:rFonts w:hint="eastAsia"/>
          <w:color w:val="1F2329"/>
          <w:sz w:val="24"/>
          <w:szCs w:val="24"/>
          <w:lang w:eastAsia="zh-CN"/>
        </w:rPr>
        <w:t>）地下属性维度：明确地下空间有无、功能类型对应的赋值标准，细化商业 / 公服 / 停车 / 人防等不同功能的赋值差异。</w:t>
      </w:r>
    </w:p>
    <w:p w14:paraId="3657818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权重体系优化与场景适配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基于 AHP 层次分析法的原有权重结果，结合苏州本地项目实践进行校验优化，固化基础权重体系；同时针对不同类型站点制定权重调整系数，例如枢纽类站点提高交通属性权重、居住类站点提高公服功能属性权重、古城文旅</w:t>
      </w:r>
      <w:bookmarkStart w:id="0" w:name="_GoBack"/>
      <w:bookmarkEnd w:id="0"/>
      <w:r>
        <w:rPr>
          <w:color w:val="1F2329"/>
          <w:sz w:val="24"/>
          <w:szCs w:val="24"/>
        </w:rPr>
        <w:t>类站点提高区位保护相关权重，实现模型的多场景精准适配。</w:t>
      </w:r>
    </w:p>
    <w:p w14:paraId="396B207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评估分级判定标准固化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明确综合评分对应的「必连 / 尽连 / 可连」</w:t>
      </w:r>
      <w:r>
        <w:rPr>
          <w:rFonts w:hint="eastAsia"/>
          <w:color w:val="1F2329"/>
          <w:sz w:val="24"/>
          <w:szCs w:val="24"/>
          <w:lang w:val="en-US" w:eastAsia="zh-CN"/>
        </w:rPr>
        <w:t>3</w:t>
      </w:r>
      <w:r>
        <w:rPr>
          <w:color w:val="1F2329"/>
          <w:sz w:val="24"/>
          <w:szCs w:val="24"/>
        </w:rPr>
        <w:t xml:space="preserve"> 个等级的分值区间，同时固化每个等级对应的管控要求：</w:t>
      </w:r>
    </w:p>
    <w:p w14:paraId="3C8617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200" w:right="0" w:rightChars="0"/>
        <w:jc w:val="left"/>
        <w:textAlignment w:val="auto"/>
        <w:rPr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1</w:t>
      </w:r>
      <w:r>
        <w:rPr>
          <w:rFonts w:hint="eastAsia"/>
          <w:color w:val="1F2329"/>
          <w:sz w:val="24"/>
          <w:szCs w:val="24"/>
          <w:lang w:eastAsia="zh-CN"/>
        </w:rPr>
        <w:t>）</w:t>
      </w:r>
      <w:r>
        <w:rPr>
          <w:color w:val="1F2329"/>
          <w:sz w:val="24"/>
          <w:szCs w:val="24"/>
        </w:rPr>
        <w:t>必连地块：</w:t>
      </w:r>
      <w:r>
        <w:rPr>
          <w:rFonts w:hint="eastAsia"/>
          <w:color w:val="1F2329"/>
          <w:sz w:val="24"/>
          <w:szCs w:val="24"/>
        </w:rPr>
        <w:t>必要性最高，必须联通的地块，如城市对外交通枢纽、市级重要商业设施及公共服务设施等</w:t>
      </w:r>
      <w:r>
        <w:rPr>
          <w:color w:val="1F2329"/>
          <w:sz w:val="24"/>
          <w:szCs w:val="24"/>
        </w:rPr>
        <w:t>；</w:t>
      </w:r>
    </w:p>
    <w:p w14:paraId="3FE8B33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200" w:right="0" w:rightChars="0"/>
        <w:jc w:val="left"/>
        <w:textAlignment w:val="auto"/>
        <w:rPr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2</w:t>
      </w:r>
      <w:r>
        <w:rPr>
          <w:rFonts w:hint="eastAsia"/>
          <w:color w:val="1F2329"/>
          <w:sz w:val="24"/>
          <w:szCs w:val="24"/>
          <w:lang w:eastAsia="zh-CN"/>
        </w:rPr>
        <w:t>）</w:t>
      </w:r>
      <w:r>
        <w:rPr>
          <w:color w:val="1F2329"/>
          <w:sz w:val="24"/>
          <w:szCs w:val="24"/>
        </w:rPr>
        <w:t>尽连地块：</w:t>
      </w:r>
      <w:r>
        <w:rPr>
          <w:rFonts w:hint="eastAsia"/>
          <w:color w:val="1F2329"/>
          <w:sz w:val="24"/>
          <w:szCs w:val="24"/>
        </w:rPr>
        <w:t>必要性次之，应该尽量联通的地块，做到如片区级商业设施和公共服务设施、规模较大的商务办公设施等</w:t>
      </w:r>
      <w:r>
        <w:rPr>
          <w:color w:val="1F2329"/>
          <w:sz w:val="24"/>
          <w:szCs w:val="24"/>
        </w:rPr>
        <w:t>；</w:t>
      </w:r>
    </w:p>
    <w:p w14:paraId="63A127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Chars="200" w:right="0" w:rightChars="0"/>
        <w:jc w:val="left"/>
        <w:textAlignment w:val="auto"/>
        <w:rPr>
          <w:rFonts w:hint="eastAsia" w:eastAsiaTheme="minor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3</w:t>
      </w:r>
      <w:r>
        <w:rPr>
          <w:rFonts w:hint="eastAsia"/>
          <w:color w:val="1F2329"/>
          <w:sz w:val="24"/>
          <w:szCs w:val="24"/>
          <w:lang w:eastAsia="zh-CN"/>
        </w:rPr>
        <w:t>）</w:t>
      </w:r>
      <w:r>
        <w:rPr>
          <w:color w:val="1F2329"/>
          <w:sz w:val="24"/>
          <w:szCs w:val="24"/>
        </w:rPr>
        <w:t>可连地块：</w:t>
      </w:r>
      <w:r>
        <w:rPr>
          <w:rFonts w:hint="eastAsia"/>
          <w:color w:val="1F2329"/>
          <w:sz w:val="24"/>
          <w:szCs w:val="24"/>
        </w:rPr>
        <w:t>鼓励、建议联通的地块，如社区级商业设施和公共服务设施、长租公寓、新建住宅小区等</w:t>
      </w:r>
      <w:r>
        <w:rPr>
          <w:rFonts w:hint="eastAsia"/>
          <w:color w:val="1F2329"/>
          <w:sz w:val="24"/>
          <w:szCs w:val="24"/>
          <w:lang w:eastAsia="zh-CN"/>
        </w:rPr>
        <w:t>。</w:t>
      </w:r>
    </w:p>
    <w:p w14:paraId="5FCC325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特殊场景例外规则制定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针对古城历史街区、文保单位保护范围、地下遗址区、特殊地质条件、既有站点改造、分期建设项目等特殊场景，制定评估模型的调整规则、例外条款与豁免条件，确保模型覆盖全场景无死角。</w:t>
      </w:r>
    </w:p>
    <w:p w14:paraId="505D459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算法逻辑可视化输出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绘制评估模型全流程逻辑流程图，明确「输入项接收→数据校验→指标赋值→加权计算→分级判定→结果输出」的完整逻辑链路。</w:t>
      </w:r>
    </w:p>
    <w:p w14:paraId="2CE2A88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</w:p>
    <w:p w14:paraId="7F1ACD4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第三阶段：联通方案设计规则库与输出体系构建</w:t>
      </w:r>
    </w:p>
    <w:p w14:paraId="720831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0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本阶段为智能体方案输出能力的核心建设，核心是将设计细则、导则成果转化为结构化的方案设计规则库，实现智能体根据评估结果自动匹配联通方式、输出设计方案与技术建议。</w:t>
      </w:r>
    </w:p>
    <w:p w14:paraId="2528071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核心工作内容</w:t>
      </w:r>
    </w:p>
    <w:p w14:paraId="7A69D0B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联通方式分类与适用场景规则制定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固化三大类联通方式、8 项细分类型的选型规则，明确每种方式的适用前置条件、优先级排序、禁用场景：</w:t>
      </w:r>
    </w:p>
    <w:p w14:paraId="522B13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1</w:t>
      </w:r>
      <w:r>
        <w:rPr>
          <w:rFonts w:hint="eastAsia"/>
          <w:color w:val="1F2329"/>
          <w:sz w:val="24"/>
          <w:szCs w:val="24"/>
          <w:lang w:eastAsia="zh-CN"/>
        </w:rPr>
        <w:t>）地下联通类：地下主通道、地下次通道、下沉广场、地下中庭，明确各类形式的适用地块等级、业态、距离、站点类型，例如必连商业地块优先采用地下主通道连通，超长通道需配套的集散节点、自动人行道设置要求；</w:t>
      </w:r>
    </w:p>
    <w:p w14:paraId="1FC39F7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2</w:t>
      </w:r>
      <w:r>
        <w:rPr>
          <w:rFonts w:hint="eastAsia"/>
          <w:color w:val="1F2329"/>
          <w:sz w:val="24"/>
          <w:szCs w:val="24"/>
          <w:lang w:eastAsia="zh-CN"/>
        </w:rPr>
        <w:t>）地面联通类：地面步行道、风雨连廊，明确各类形式的适用场景，例如医院、学校、居住类站点优先采用风雨连廊，细化不同场景下风雨连廊的选型标准；</w:t>
      </w:r>
    </w:p>
    <w:p w14:paraId="22B73F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3</w:t>
      </w:r>
      <w:r>
        <w:rPr>
          <w:rFonts w:hint="eastAsia"/>
          <w:color w:val="1F2329"/>
          <w:sz w:val="24"/>
          <w:szCs w:val="24"/>
          <w:lang w:eastAsia="zh-CN"/>
        </w:rPr>
        <w:t>）空中联通类：高架连廊 / 天桥，明确高架站点、商业办公集群的适用条件，结构与风貌管控要求。</w:t>
      </w:r>
    </w:p>
    <w:p w14:paraId="1F63417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联通空间设计参数化规则库搭建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针对每一种联通方式，拆解核心设计参数，形成「强制值 - 推荐值 - 适用条件」一一对应的参数化规则库，核心包括：</w:t>
      </w:r>
    </w:p>
    <w:p w14:paraId="1AFEC3B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1</w:t>
      </w:r>
      <w:r>
        <w:rPr>
          <w:rFonts w:hint="eastAsia"/>
          <w:color w:val="1F2329"/>
          <w:sz w:val="24"/>
          <w:szCs w:val="24"/>
          <w:lang w:eastAsia="zh-CN"/>
        </w:rPr>
        <w:t>）空间尺度规则：地下通道净宽、净高、D/H 值、长度控制要求，风雨连廊净空、宽度、坡度要求，空中连廊的桥下净高、跨度要求等；</w:t>
      </w:r>
    </w:p>
    <w:p w14:paraId="59D6B71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2</w:t>
      </w:r>
      <w:r>
        <w:rPr>
          <w:rFonts w:hint="eastAsia"/>
          <w:color w:val="1F2329"/>
          <w:sz w:val="24"/>
          <w:szCs w:val="24"/>
          <w:lang w:eastAsia="zh-CN"/>
        </w:rPr>
        <w:t>）平面设计规则：通道弯折角度、交叉节点处理、集散空间设置要求，超长通道的节点间距、采光通风要求等；</w:t>
      </w:r>
    </w:p>
    <w:p w14:paraId="5C1062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3</w:t>
      </w:r>
      <w:r>
        <w:rPr>
          <w:rFonts w:hint="eastAsia"/>
          <w:color w:val="1F2329"/>
          <w:sz w:val="24"/>
          <w:szCs w:val="24"/>
          <w:lang w:eastAsia="zh-CN"/>
        </w:rPr>
        <w:t>）专项设计规则：防火疏散、无障碍设计、结构衔接、防水抗变形、人防要求、通风采光、照明标识等专项设计的强制要求与推荐做法；</w:t>
      </w:r>
    </w:p>
    <w:p w14:paraId="258260F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4</w:t>
      </w:r>
      <w:r>
        <w:rPr>
          <w:rFonts w:hint="eastAsia"/>
          <w:color w:val="1F2329"/>
          <w:sz w:val="24"/>
          <w:szCs w:val="24"/>
          <w:lang w:eastAsia="zh-CN"/>
        </w:rPr>
        <w:t>）人性化设施配置规则：不同类型联通空间对应的休憩设施、便民服务、适老化适幼化设施、应急医疗设施的配置标准。</w:t>
      </w:r>
    </w:p>
    <w:p w14:paraId="73E9B96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分场景方案设计指引体系构建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针对「4 类联通等级 ×7 类站点类型 × 全业态地块」的组合场景，构建标准化方案设计指引，明确每个场景的方案核心要点、设计重点、禁止性条款、优化建议。例如：</w:t>
      </w:r>
    </w:p>
    <w:p w14:paraId="301B74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1</w:t>
      </w:r>
      <w:r>
        <w:rPr>
          <w:rFonts w:hint="eastAsia"/>
          <w:color w:val="1F2329"/>
          <w:sz w:val="24"/>
          <w:szCs w:val="24"/>
          <w:lang w:eastAsia="zh-CN"/>
        </w:rPr>
        <w:t>）城市级枢纽站点 + 必连交通枢纽地块：地下联通一体化设计、无缝换乘的核心要求、防灾一体化设计要点；</w:t>
      </w:r>
    </w:p>
    <w:p w14:paraId="7E840BF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2</w:t>
      </w:r>
      <w:r>
        <w:rPr>
          <w:rFonts w:hint="eastAsia"/>
          <w:color w:val="1F2329"/>
          <w:sz w:val="24"/>
          <w:szCs w:val="24"/>
          <w:lang w:eastAsia="zh-CN"/>
        </w:rPr>
        <w:t>）古城文旅类站点 + 尽连公服地块：地面风雨连廊的风貌管控要求、与古城肌理的协调原则、地下空间的保护要求；</w:t>
      </w:r>
    </w:p>
    <w:p w14:paraId="0627E6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3</w:t>
      </w:r>
      <w:r>
        <w:rPr>
          <w:rFonts w:hint="eastAsia"/>
          <w:color w:val="1F2329"/>
          <w:sz w:val="24"/>
          <w:szCs w:val="24"/>
          <w:lang w:eastAsia="zh-CN"/>
        </w:rPr>
        <w:t>）居住类站点 + 可连社区配套地块：联通路径的便捷性要求、风雨连廊的配置标准、全年龄友好设施的配置要点。</w:t>
      </w:r>
    </w:p>
    <w:p w14:paraId="5C6D11F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输出成果标准化模板制定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明确智能体最终输出的文字报告标准化框架，固定每个章节的内容要求，核心框架包括：</w:t>
      </w:r>
    </w:p>
    <w:p w14:paraId="25726B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1</w:t>
      </w:r>
      <w:r>
        <w:rPr>
          <w:rFonts w:hint="eastAsia"/>
          <w:color w:val="1F2329"/>
          <w:sz w:val="24"/>
          <w:szCs w:val="24"/>
          <w:lang w:eastAsia="zh-CN"/>
        </w:rPr>
        <w:t>）项目概况：车站与地块基础信息、输入条件汇总；</w:t>
      </w:r>
    </w:p>
    <w:p w14:paraId="497E1D2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2</w:t>
      </w:r>
      <w:r>
        <w:rPr>
          <w:rFonts w:hint="eastAsia"/>
          <w:color w:val="1F2329"/>
          <w:sz w:val="24"/>
          <w:szCs w:val="24"/>
          <w:lang w:eastAsia="zh-CN"/>
        </w:rPr>
        <w:t>）联通必要性评估结论：指标计算过程、综合评分、地块联通等级判定、核心依据说明；</w:t>
      </w:r>
    </w:p>
    <w:p w14:paraId="39936A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3</w:t>
      </w:r>
      <w:r>
        <w:rPr>
          <w:rFonts w:hint="eastAsia"/>
          <w:color w:val="1F2329"/>
          <w:sz w:val="24"/>
          <w:szCs w:val="24"/>
          <w:lang w:eastAsia="zh-CN"/>
        </w:rPr>
        <w:t>）联通方式比选与推荐方案：多方案比选、推荐方案的核心理由、整体设计思路；</w:t>
      </w:r>
    </w:p>
    <w:p w14:paraId="7D5606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4</w:t>
      </w:r>
      <w:r>
        <w:rPr>
          <w:rFonts w:hint="eastAsia"/>
          <w:color w:val="1F2329"/>
          <w:sz w:val="24"/>
          <w:szCs w:val="24"/>
          <w:lang w:eastAsia="zh-CN"/>
        </w:rPr>
        <w:t>）方案设计核心技术要求：平面布局、空间尺度、专项设计的关键参数与管控要求；</w:t>
      </w:r>
    </w:p>
    <w:p w14:paraId="3C461CC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5</w:t>
      </w:r>
      <w:r>
        <w:rPr>
          <w:rFonts w:hint="eastAsia"/>
          <w:color w:val="1F2329"/>
          <w:sz w:val="24"/>
          <w:szCs w:val="24"/>
          <w:lang w:eastAsia="zh-CN"/>
        </w:rPr>
        <w:t>）合规性校验说明：方案与现行规范、地方导则的符合性说明，强制性条文执行情况；</w:t>
      </w:r>
    </w:p>
    <w:p w14:paraId="05A9DC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6</w:t>
      </w:r>
      <w:r>
        <w:rPr>
          <w:rFonts w:hint="eastAsia"/>
          <w:color w:val="1F2329"/>
          <w:sz w:val="24"/>
          <w:szCs w:val="24"/>
          <w:lang w:eastAsia="zh-CN"/>
        </w:rPr>
        <w:t>）设计优化与实施建议：人性化提升、风貌管控、建设时序、运营管理的相关建议；</w:t>
      </w:r>
    </w:p>
    <w:p w14:paraId="1A8ABCF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color w:val="1F2329"/>
          <w:sz w:val="24"/>
          <w:szCs w:val="24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7</w:t>
      </w:r>
      <w:r>
        <w:rPr>
          <w:rFonts w:hint="eastAsia"/>
          <w:color w:val="1F2329"/>
          <w:sz w:val="24"/>
          <w:szCs w:val="24"/>
          <w:lang w:eastAsia="zh-CN"/>
        </w:rPr>
        <w:t>）意向效果图输出指引：效果图核心表达要素、场景重点、风格建议。</w:t>
      </w:r>
    </w:p>
    <w:p w14:paraId="17B6B4B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</w:p>
    <w:p w14:paraId="6B394BB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第四阶段：专业逻辑校验与测试用例库编制</w:t>
      </w:r>
    </w:p>
    <w:p w14:paraId="57A899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0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本阶段为智能体开发前的质量管控，核心是完成专业逻辑的全面校验，编制全场景测试用例，为开发后的测试验收提供标准与依据。</w:t>
      </w:r>
    </w:p>
    <w:p w14:paraId="07ED4DA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核心工作内容</w:t>
      </w:r>
    </w:p>
    <w:p w14:paraId="617006E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全场景测试用例库编制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覆盖苏州轨道交通所有站点类型、地块业态、建设场景，编制不少于 30 组典型测试用例，每组用例明确：</w:t>
      </w:r>
    </w:p>
    <w:p w14:paraId="3ECED3E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1</w:t>
      </w:r>
      <w:r>
        <w:rPr>
          <w:rFonts w:hint="eastAsia"/>
          <w:color w:val="1F2329"/>
          <w:sz w:val="24"/>
          <w:szCs w:val="24"/>
          <w:lang w:eastAsia="zh-CN"/>
        </w:rPr>
        <w:t>）输入条件：车站位置、站点类型、站点平面图、地块位置、业态功能、开发强度、方案平面、特殊约束条件；</w:t>
      </w:r>
    </w:p>
    <w:p w14:paraId="7503C0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2</w:t>
      </w:r>
      <w:r>
        <w:rPr>
          <w:rFonts w:hint="eastAsia"/>
          <w:color w:val="1F2329"/>
          <w:sz w:val="24"/>
          <w:szCs w:val="24"/>
          <w:lang w:eastAsia="zh-CN"/>
        </w:rPr>
        <w:t>）预期专业输出：联通必要性评估等级、推荐联通方式、核心设计参数、合规性要求、方案设计要点。测试用例需覆盖常规场景、边界场景、特殊场景，包括临界分值判定、古城保护、既有站点改造、超长距离联通、多地块连片联通等典型情况。</w:t>
      </w:r>
    </w:p>
    <w:p w14:paraId="7BCE7ED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专业逻辑边界与合规性校验</w:t>
      </w:r>
    </w:p>
    <w:p w14:paraId="18F67A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1</w:t>
      </w:r>
      <w:r>
        <w:rPr>
          <w:rFonts w:hint="eastAsia"/>
          <w:color w:val="1F2329"/>
          <w:sz w:val="24"/>
          <w:szCs w:val="24"/>
          <w:lang w:eastAsia="zh-CN"/>
        </w:rPr>
        <w:t>）边界校验：针对模型的临界条件、分支逻辑、例外规则进行全维度校验，确保逻辑闭环，无漏洞、无冲突、无模糊地带；</w:t>
      </w:r>
    </w:p>
    <w:p w14:paraId="16FB6C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2</w:t>
      </w:r>
      <w:r>
        <w:rPr>
          <w:rFonts w:hint="eastAsia"/>
          <w:color w:val="1F2329"/>
          <w:sz w:val="24"/>
          <w:szCs w:val="24"/>
          <w:lang w:eastAsia="zh-CN"/>
        </w:rPr>
        <w:t>）合规性校验：对照国家、省市现行规范，以及苏州本地规划建设管理规定，对所有算法模型、规则库、设计指引进行全面合规性校验，确保 100% 符合强制性条文要求，出具合规性校验报告。</w:t>
      </w:r>
    </w:p>
    <w:p w14:paraId="644B38E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专业验收标准制定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明确智能体开发完成后的专业验收标准，包括：</w:t>
      </w:r>
    </w:p>
    <w:p w14:paraId="4AF7D5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1</w:t>
      </w:r>
      <w:r>
        <w:rPr>
          <w:rFonts w:hint="eastAsia"/>
          <w:color w:val="1F2329"/>
          <w:sz w:val="24"/>
          <w:szCs w:val="24"/>
          <w:lang w:eastAsia="zh-CN"/>
        </w:rPr>
        <w:t>）必要性评估准确率：测试用例评估结果与预期专业结论的匹配度需达到 100%；</w:t>
      </w:r>
    </w:p>
    <w:p w14:paraId="50B4D74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2</w:t>
      </w:r>
      <w:r>
        <w:rPr>
          <w:rFonts w:hint="eastAsia"/>
          <w:color w:val="1F2329"/>
          <w:sz w:val="24"/>
          <w:szCs w:val="24"/>
          <w:lang w:eastAsia="zh-CN"/>
        </w:rPr>
        <w:t>）方案合规性：输出的设计方案与参数需 100% 符合强制性规范要求；</w:t>
      </w:r>
    </w:p>
    <w:p w14:paraId="0732682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3</w:t>
      </w:r>
      <w:r>
        <w:rPr>
          <w:rFonts w:hint="eastAsia"/>
          <w:color w:val="1F2329"/>
          <w:sz w:val="24"/>
          <w:szCs w:val="24"/>
          <w:lang w:eastAsia="zh-CN"/>
        </w:rPr>
        <w:t>）内容完整性：输出报告需完整覆盖标准化模板的所有章节，无关键信息缺失；</w:t>
      </w:r>
    </w:p>
    <w:p w14:paraId="5377FE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4</w:t>
      </w:r>
      <w:r>
        <w:rPr>
          <w:rFonts w:hint="eastAsia"/>
          <w:color w:val="1F2329"/>
          <w:sz w:val="24"/>
          <w:szCs w:val="24"/>
          <w:lang w:eastAsia="zh-CN"/>
        </w:rPr>
        <w:t>）场景适配性：特殊场景的输出结果需符合例外规则与本地管理要求。</w:t>
      </w:r>
    </w:p>
    <w:p w14:paraId="2A26F70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</w:p>
    <w:p w14:paraId="0718881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第五阶段：成果落地迭代</w:t>
      </w:r>
    </w:p>
    <w:p w14:paraId="7611A2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0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本阶段为成果落地阶段，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对智能体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开展测试验收、试点应用与长效迭代优化。</w:t>
      </w:r>
    </w:p>
    <w:p w14:paraId="17116C8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核心工作内容</w:t>
      </w:r>
    </w:p>
    <w:p w14:paraId="1FB64F2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测试阶段专业验收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完成集成测试、系统测试，对所有测试用例的输出结果进行专业审核，出具专业审核意见，跟踪问题整改情况。</w:t>
      </w:r>
    </w:p>
    <w:p w14:paraId="13642AB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试点应用与优化迭代</w:t>
      </w:r>
      <w:r>
        <w:rPr>
          <w:rStyle w:val="7"/>
          <w:rFonts w:hint="eastAsia"/>
          <w:b/>
          <w:bCs/>
          <w:color w:val="1F2329"/>
          <w:sz w:val="24"/>
          <w:szCs w:val="24"/>
          <w:lang w:eastAsia="zh-CN"/>
        </w:rPr>
        <w:t>，</w:t>
      </w:r>
      <w:r>
        <w:rPr>
          <w:color w:val="1F2329"/>
          <w:sz w:val="24"/>
          <w:szCs w:val="24"/>
        </w:rPr>
        <w:t>智能体上线后，选取实际在建项目开展试点应用，收集使用过程中的问题与反馈，结合项目实践对算法模型、规则库、输出内容进行优化迭代。</w:t>
      </w:r>
    </w:p>
    <w:p w14:paraId="18C1C09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2" w:firstLineChars="200"/>
        <w:jc w:val="left"/>
        <w:textAlignment w:val="auto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</w:rPr>
        <w:t>长效维护机制建立</w:t>
      </w:r>
      <w:r>
        <w:rPr>
          <w:color w:val="1F2329"/>
          <w:sz w:val="24"/>
          <w:szCs w:val="24"/>
        </w:rPr>
        <w:t>制定《智能体专业内容长效维护管理办法》，明确：</w:t>
      </w:r>
    </w:p>
    <w:p w14:paraId="50DC08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1</w:t>
      </w:r>
      <w:r>
        <w:rPr>
          <w:rFonts w:hint="eastAsia"/>
          <w:color w:val="1F2329"/>
          <w:sz w:val="24"/>
          <w:szCs w:val="24"/>
          <w:lang w:eastAsia="zh-CN"/>
        </w:rPr>
        <w:t>）规范更新响应机制：跟踪国家、地方相关规范与管理规定的更新，及时完成规则库的修订与升级；</w:t>
      </w:r>
    </w:p>
    <w:p w14:paraId="11DB9A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2</w:t>
      </w:r>
      <w:r>
        <w:rPr>
          <w:rFonts w:hint="eastAsia"/>
          <w:color w:val="1F2329"/>
          <w:sz w:val="24"/>
          <w:szCs w:val="24"/>
          <w:lang w:eastAsia="zh-CN"/>
        </w:rPr>
        <w:t>）季度优化机制：每季度收集使用反馈，对智能体的专业内容进行复盘优化，补充新场景、新案例的适配规则；</w:t>
      </w:r>
    </w:p>
    <w:p w14:paraId="17314D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 w:firstLine="480" w:firstLineChars="200"/>
        <w:jc w:val="both"/>
        <w:textAlignment w:val="auto"/>
        <w:rPr>
          <w:rFonts w:hint="eastAsia"/>
          <w:color w:val="1F2329"/>
          <w:sz w:val="24"/>
          <w:szCs w:val="24"/>
          <w:lang w:eastAsia="zh-CN"/>
        </w:rPr>
      </w:pPr>
      <w:r>
        <w:rPr>
          <w:rFonts w:hint="eastAsia"/>
          <w:color w:val="1F2329"/>
          <w:sz w:val="24"/>
          <w:szCs w:val="24"/>
          <w:lang w:eastAsia="zh-CN"/>
        </w:rPr>
        <w:t>（</w:t>
      </w:r>
      <w:r>
        <w:rPr>
          <w:rFonts w:hint="eastAsia"/>
          <w:color w:val="1F2329"/>
          <w:sz w:val="24"/>
          <w:szCs w:val="24"/>
          <w:lang w:val="en-US" w:eastAsia="zh-CN"/>
        </w:rPr>
        <w:t>3</w:t>
      </w:r>
      <w:r>
        <w:rPr>
          <w:rFonts w:hint="eastAsia"/>
          <w:color w:val="1F2329"/>
          <w:sz w:val="24"/>
          <w:szCs w:val="24"/>
          <w:lang w:eastAsia="zh-CN"/>
        </w:rPr>
        <w:t>）年度评审机制：每年组织专业评审，对智能体的专业能力进行全面评估，完成年度版本升级。</w:t>
      </w:r>
    </w:p>
    <w:p w14:paraId="1297D0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94A483"/>
    <w:multiLevelType w:val="multilevel"/>
    <w:tmpl w:val="C094A4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8F58EDB"/>
    <w:multiLevelType w:val="multilevel"/>
    <w:tmpl w:val="D8F58E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D3B7ED3"/>
    <w:multiLevelType w:val="multilevel"/>
    <w:tmpl w:val="0D3B7E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3CDA37A"/>
    <w:multiLevelType w:val="multilevel"/>
    <w:tmpl w:val="13CDA3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F1D0AA4"/>
    <w:multiLevelType w:val="multilevel"/>
    <w:tmpl w:val="6F1D0A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D5965"/>
    <w:rsid w:val="153C3480"/>
    <w:rsid w:val="22C9091C"/>
    <w:rsid w:val="398542FB"/>
    <w:rsid w:val="551268DF"/>
    <w:rsid w:val="685B5369"/>
    <w:rsid w:val="6DF0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4173</Words>
  <Characters>4212</Characters>
  <Lines>0</Lines>
  <Paragraphs>0</Paragraphs>
  <TotalTime>60</TotalTime>
  <ScaleCrop>false</ScaleCrop>
  <LinksUpToDate>false</LinksUpToDate>
  <CharactersWithSpaces>4345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2026-03-12T10:17:00Z</dcterms:created>
  <dc:creator>wuxinze</dc:creator>
  <cp:lastModifiedBy>吴欣泽</cp:lastModifiedBy>
  <dcterms:modified xsi:type="dcterms:W3CDTF">2026-03-31T07:45:09Z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eyJoZGlkIjoiNzAyODQyODAyMWE0M2ZjZWI5ODJjMGJjYzc1MjY4Y2YiLCJ1c2VySWQiOiIzNjAxMjUzMDIifQ==</vt:lpwstr>
  </property>
  <property fmtid="{D5CDD505-2E9C-101B-9397-08002B2CF9AE}" pid="4" name="ICV">
    <vt:lpwstr>3D71F53A30854F8D972B46457A8FD8E9_13</vt:lpwstr>
  </property>
</Properties>
</file>