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微软雅黑" w:hAnsi="微软雅黑" w:eastAsia="微软雅黑" w:cs="微软雅黑"/>
          <w:b/>
          <w:bCs/>
          <w:sz w:val="44"/>
          <w:szCs w:val="44"/>
        </w:rPr>
        <w:id w:val="147455539"/>
        <w15:color w:val="DBDBDB"/>
        <w:docPartObj>
          <w:docPartGallery w:val="Table of Contents"/>
          <w:docPartUnique/>
        </w:docPartObj>
      </w:sdtPr>
      <w:sdtEndPr>
        <w:rPr>
          <w:rFonts w:hint="eastAsia" w:asciiTheme="minorHAnsi" w:hAnsiTheme="minorHAnsi" w:eastAsiaTheme="minorEastAsia" w:cstheme="minorBidi"/>
          <w:b/>
          <w:bCs/>
          <w:sz w:val="21"/>
          <w:szCs w:val="36"/>
        </w:rPr>
      </w:sdtEndPr>
      <w:sdtContent>
        <w:p w14:paraId="1CCC3CE8">
          <w:pPr>
            <w:jc w:val="center"/>
            <w:rPr>
              <w:rFonts w:ascii="微软雅黑" w:hAnsi="微软雅黑" w:eastAsia="微软雅黑" w:cs="微软雅黑"/>
              <w:b/>
              <w:bCs/>
              <w:sz w:val="44"/>
              <w:szCs w:val="44"/>
            </w:rPr>
          </w:pPr>
        </w:p>
        <w:p w14:paraId="55A15919">
          <w:pPr>
            <w:jc w:val="center"/>
            <w:rPr>
              <w:rFonts w:ascii="微软雅黑" w:hAnsi="微软雅黑" w:eastAsia="微软雅黑" w:cs="微软雅黑"/>
              <w:b/>
              <w:bCs/>
              <w:sz w:val="44"/>
              <w:szCs w:val="44"/>
            </w:rPr>
          </w:pPr>
          <w:r>
            <w:rPr>
              <w:rFonts w:hint="eastAsia" w:ascii="微软雅黑" w:hAnsi="微软雅黑" w:eastAsia="微软雅黑" w:cs="微软雅黑"/>
              <w:b/>
              <w:bCs/>
              <w:sz w:val="44"/>
              <w:szCs w:val="44"/>
            </w:rPr>
            <w:t>苏州轨道交通站点周边地下</w:t>
          </w:r>
        </w:p>
        <w:p w14:paraId="12FCA71F">
          <w:pPr>
            <w:jc w:val="center"/>
            <w:rPr>
              <w:rFonts w:ascii="微软雅黑" w:hAnsi="微软雅黑" w:eastAsia="微软雅黑" w:cs="微软雅黑"/>
              <w:b/>
              <w:bCs/>
              <w:sz w:val="44"/>
              <w:szCs w:val="44"/>
            </w:rPr>
          </w:pPr>
          <w:r>
            <w:rPr>
              <w:rFonts w:hint="eastAsia" w:ascii="微软雅黑" w:hAnsi="微软雅黑" w:eastAsia="微软雅黑" w:cs="微软雅黑"/>
              <w:b/>
              <w:bCs/>
              <w:sz w:val="44"/>
              <w:szCs w:val="44"/>
            </w:rPr>
            <w:t>公共联通空间设计细则</w:t>
          </w:r>
        </w:p>
        <w:p w14:paraId="3E7A8532">
          <w:pPr>
            <w:jc w:val="center"/>
            <w:rPr>
              <w:rFonts w:ascii="微软雅黑" w:hAnsi="微软雅黑" w:eastAsia="微软雅黑" w:cs="微软雅黑"/>
              <w:b/>
              <w:bCs/>
              <w:sz w:val="44"/>
              <w:szCs w:val="44"/>
            </w:rPr>
          </w:pPr>
          <w:r>
            <w:rPr>
              <w:rFonts w:hint="eastAsia" w:ascii="微软雅黑" w:hAnsi="微软雅黑" w:eastAsia="微软雅黑" w:cs="微软雅黑"/>
              <w:b/>
              <w:bCs/>
              <w:sz w:val="44"/>
              <w:szCs w:val="44"/>
            </w:rPr>
            <w:t>（结题评审修改稿）</w:t>
          </w:r>
        </w:p>
        <w:p w14:paraId="4475F3CE">
          <w:pPr>
            <w:jc w:val="center"/>
            <w:rPr>
              <w:rFonts w:ascii="微软雅黑" w:hAnsi="微软雅黑" w:eastAsia="微软雅黑" w:cs="微软雅黑"/>
              <w:b/>
              <w:bCs/>
              <w:sz w:val="44"/>
              <w:szCs w:val="44"/>
            </w:rPr>
          </w:pPr>
        </w:p>
        <w:p w14:paraId="052329CC">
          <w:pPr>
            <w:jc w:val="center"/>
            <w:rPr>
              <w:rFonts w:ascii="微软雅黑" w:hAnsi="微软雅黑" w:eastAsia="微软雅黑" w:cs="微软雅黑"/>
              <w:b/>
              <w:bCs/>
              <w:sz w:val="44"/>
              <w:szCs w:val="44"/>
            </w:rPr>
          </w:pPr>
        </w:p>
        <w:p w14:paraId="14A224BC">
          <w:pPr>
            <w:jc w:val="center"/>
            <w:rPr>
              <w:rFonts w:ascii="微软雅黑" w:hAnsi="微软雅黑" w:eastAsia="微软雅黑" w:cs="微软雅黑"/>
              <w:b/>
              <w:bCs/>
              <w:sz w:val="44"/>
              <w:szCs w:val="44"/>
            </w:rPr>
          </w:pPr>
        </w:p>
        <w:p w14:paraId="04015BBE">
          <w:pPr>
            <w:jc w:val="center"/>
            <w:rPr>
              <w:rFonts w:ascii="微软雅黑" w:hAnsi="微软雅黑" w:eastAsia="微软雅黑" w:cs="微软雅黑"/>
              <w:b/>
              <w:bCs/>
              <w:sz w:val="44"/>
              <w:szCs w:val="44"/>
            </w:rPr>
          </w:pPr>
        </w:p>
        <w:p w14:paraId="3C8687D6">
          <w:pPr>
            <w:jc w:val="center"/>
            <w:rPr>
              <w:rFonts w:ascii="微软雅黑" w:hAnsi="微软雅黑" w:eastAsia="微软雅黑" w:cs="微软雅黑"/>
              <w:b/>
              <w:bCs/>
              <w:sz w:val="44"/>
              <w:szCs w:val="44"/>
            </w:rPr>
          </w:pPr>
        </w:p>
        <w:p w14:paraId="0409C5BC">
          <w:pPr>
            <w:jc w:val="center"/>
            <w:rPr>
              <w:rFonts w:ascii="微软雅黑" w:hAnsi="微软雅黑" w:eastAsia="微软雅黑" w:cs="微软雅黑"/>
              <w:b/>
              <w:bCs/>
              <w:sz w:val="44"/>
              <w:szCs w:val="44"/>
            </w:rPr>
          </w:pPr>
        </w:p>
        <w:p w14:paraId="1AC3CC53">
          <w:pPr>
            <w:jc w:val="center"/>
            <w:rPr>
              <w:rFonts w:ascii="微软雅黑" w:hAnsi="微软雅黑" w:eastAsia="微软雅黑" w:cs="微软雅黑"/>
              <w:b/>
              <w:bCs/>
              <w:sz w:val="44"/>
              <w:szCs w:val="44"/>
            </w:rPr>
          </w:pPr>
        </w:p>
        <w:p w14:paraId="658505E3">
          <w:pPr>
            <w:jc w:val="center"/>
            <w:rPr>
              <w:rFonts w:ascii="微软雅黑" w:hAnsi="微软雅黑" w:eastAsia="微软雅黑" w:cs="微软雅黑"/>
              <w:b/>
              <w:bCs/>
              <w:sz w:val="44"/>
              <w:szCs w:val="44"/>
            </w:rPr>
          </w:pPr>
        </w:p>
        <w:p w14:paraId="6848F364">
          <w:pPr>
            <w:jc w:val="center"/>
            <w:rPr>
              <w:rFonts w:ascii="微软雅黑" w:hAnsi="微软雅黑" w:eastAsia="微软雅黑" w:cs="微软雅黑"/>
              <w:b/>
              <w:bCs/>
              <w:sz w:val="44"/>
              <w:szCs w:val="44"/>
            </w:rPr>
          </w:pPr>
        </w:p>
        <w:p w14:paraId="480282F1">
          <w:pPr>
            <w:jc w:val="center"/>
            <w:rPr>
              <w:rFonts w:hint="eastAsia" w:ascii="微软雅黑" w:hAnsi="微软雅黑" w:eastAsia="微软雅黑" w:cs="微软雅黑"/>
              <w:b/>
              <w:bCs/>
              <w:sz w:val="32"/>
              <w:szCs w:val="32"/>
              <w:lang w:eastAsia="zh-CN"/>
            </w:rPr>
          </w:pPr>
          <w:r>
            <w:rPr>
              <w:rFonts w:hint="eastAsia" w:ascii="微软雅黑" w:hAnsi="微软雅黑" w:eastAsia="微软雅黑" w:cs="微软雅黑"/>
              <w:b/>
              <w:bCs/>
              <w:sz w:val="32"/>
              <w:szCs w:val="32"/>
            </w:rPr>
            <w:t>202</w:t>
          </w:r>
          <w:r>
            <w:rPr>
              <w:rFonts w:hint="eastAsia" w:ascii="微软雅黑" w:hAnsi="微软雅黑" w:eastAsia="微软雅黑" w:cs="微软雅黑"/>
              <w:b/>
              <w:bCs/>
              <w:sz w:val="32"/>
              <w:szCs w:val="32"/>
              <w:lang w:val="en-US" w:eastAsia="zh-CN"/>
            </w:rPr>
            <w:t>5</w:t>
          </w:r>
          <w:r>
            <w:rPr>
              <w:rFonts w:hint="eastAsia" w:ascii="微软雅黑" w:hAnsi="微软雅黑" w:eastAsia="微软雅黑" w:cs="微软雅黑"/>
              <w:b/>
              <w:bCs/>
              <w:sz w:val="32"/>
              <w:szCs w:val="32"/>
            </w:rPr>
            <w:t>.</w:t>
          </w:r>
          <w:r>
            <w:rPr>
              <w:rFonts w:hint="eastAsia" w:ascii="微软雅黑" w:hAnsi="微软雅黑" w:eastAsia="微软雅黑" w:cs="微软雅黑"/>
              <w:b/>
              <w:bCs/>
              <w:sz w:val="32"/>
              <w:szCs w:val="32"/>
              <w:lang w:val="en-US" w:eastAsia="zh-CN"/>
            </w:rPr>
            <w:t>2</w:t>
          </w:r>
        </w:p>
        <w:p w14:paraId="35E76EDB">
          <w:pPr>
            <w:rPr>
              <w:rFonts w:ascii="微软雅黑" w:hAnsi="微软雅黑" w:eastAsia="微软雅黑" w:cs="微软雅黑"/>
              <w:b/>
              <w:bCs/>
              <w:sz w:val="36"/>
              <w:szCs w:val="36"/>
            </w:rPr>
          </w:pPr>
          <w:r>
            <w:rPr>
              <w:rFonts w:hint="eastAsia" w:ascii="微软雅黑" w:hAnsi="微软雅黑" w:eastAsia="微软雅黑" w:cs="微软雅黑"/>
              <w:b/>
              <w:bCs/>
              <w:sz w:val="36"/>
              <w:szCs w:val="36"/>
            </w:rPr>
            <w:br w:type="page"/>
          </w:r>
        </w:p>
        <w:p w14:paraId="1D8426D7"/>
        <w:p w14:paraId="1D93B985">
          <w:pPr>
            <w:pStyle w:val="2"/>
            <w:jc w:val="center"/>
            <w:rPr>
              <w:sz w:val="30"/>
              <w:szCs w:val="30"/>
            </w:rPr>
          </w:pPr>
          <w:bookmarkStart w:id="0" w:name="_Toc190693022"/>
          <w:bookmarkStart w:id="1" w:name="_Toc176159984"/>
          <w:r>
            <w:rPr>
              <w:sz w:val="30"/>
              <w:szCs w:val="30"/>
            </w:rPr>
            <w:t>目录</w:t>
          </w:r>
          <w:bookmarkEnd w:id="0"/>
          <w:bookmarkEnd w:id="1"/>
        </w:p>
        <w:p w14:paraId="7F0496BE">
          <w:pPr>
            <w:pStyle w:val="9"/>
            <w:tabs>
              <w:tab w:val="right" w:leader="dot" w:pos="8296"/>
            </w:tabs>
            <w:rPr>
              <w:szCs w:val="22"/>
            </w:rPr>
          </w:pPr>
          <w:r>
            <w:rPr>
              <w:rFonts w:hint="eastAsia"/>
              <w:b/>
              <w:bCs/>
              <w:sz w:val="28"/>
              <w:szCs w:val="36"/>
            </w:rPr>
            <w:fldChar w:fldCharType="begin"/>
          </w:r>
          <w:r>
            <w:rPr>
              <w:rFonts w:hint="eastAsia"/>
              <w:b/>
              <w:bCs/>
              <w:sz w:val="28"/>
              <w:szCs w:val="36"/>
            </w:rPr>
            <w:instrText xml:space="preserve">TOC \o "1-2" \h \u </w:instrText>
          </w:r>
          <w:r>
            <w:rPr>
              <w:rFonts w:hint="eastAsia"/>
              <w:b/>
              <w:bCs/>
              <w:sz w:val="28"/>
              <w:szCs w:val="36"/>
            </w:rPr>
            <w:fldChar w:fldCharType="separate"/>
          </w:r>
          <w:r>
            <w:fldChar w:fldCharType="begin"/>
          </w:r>
          <w:r>
            <w:instrText xml:space="preserve"> HYPERLINK \l "_Toc190693022" </w:instrText>
          </w:r>
          <w:r>
            <w:fldChar w:fldCharType="separate"/>
          </w:r>
          <w:r>
            <w:rPr>
              <w:rStyle w:val="14"/>
            </w:rPr>
            <w:t>目录</w:t>
          </w:r>
          <w:r>
            <w:tab/>
          </w:r>
          <w:r>
            <w:fldChar w:fldCharType="begin"/>
          </w:r>
          <w:r>
            <w:instrText xml:space="preserve"> PAGEREF _Toc190693022 \h </w:instrText>
          </w:r>
          <w:r>
            <w:fldChar w:fldCharType="separate"/>
          </w:r>
          <w:r>
            <w:t>2</w:t>
          </w:r>
          <w:r>
            <w:fldChar w:fldCharType="end"/>
          </w:r>
          <w:r>
            <w:fldChar w:fldCharType="end"/>
          </w:r>
        </w:p>
        <w:p w14:paraId="2869A18C">
          <w:pPr>
            <w:pStyle w:val="8"/>
            <w:tabs>
              <w:tab w:val="right" w:leader="dot" w:pos="8296"/>
            </w:tabs>
            <w:rPr>
              <w:szCs w:val="22"/>
            </w:rPr>
          </w:pPr>
          <w:r>
            <w:fldChar w:fldCharType="begin"/>
          </w:r>
          <w:r>
            <w:instrText xml:space="preserve"> HYPERLINK \l "_Toc190693023" </w:instrText>
          </w:r>
          <w:r>
            <w:fldChar w:fldCharType="separate"/>
          </w:r>
          <w:r>
            <w:rPr>
              <w:rStyle w:val="14"/>
              <w:rFonts w:ascii="黑体" w:hAnsi="黑体" w:eastAsia="黑体" w:cs="黑体"/>
              <w:bCs/>
            </w:rPr>
            <w:t>1 总则</w:t>
          </w:r>
          <w:r>
            <w:tab/>
          </w:r>
          <w:r>
            <w:fldChar w:fldCharType="begin"/>
          </w:r>
          <w:r>
            <w:instrText xml:space="preserve"> PAGEREF _Toc190693023 \h </w:instrText>
          </w:r>
          <w:r>
            <w:fldChar w:fldCharType="separate"/>
          </w:r>
          <w:r>
            <w:t>3</w:t>
          </w:r>
          <w:r>
            <w:fldChar w:fldCharType="end"/>
          </w:r>
          <w:r>
            <w:fldChar w:fldCharType="end"/>
          </w:r>
        </w:p>
        <w:p w14:paraId="1EBA1801">
          <w:pPr>
            <w:pStyle w:val="8"/>
            <w:tabs>
              <w:tab w:val="right" w:leader="dot" w:pos="8296"/>
            </w:tabs>
            <w:rPr>
              <w:szCs w:val="22"/>
            </w:rPr>
          </w:pPr>
          <w:r>
            <w:fldChar w:fldCharType="begin"/>
          </w:r>
          <w:r>
            <w:instrText xml:space="preserve"> HYPERLINK \l "_Toc190693024" </w:instrText>
          </w:r>
          <w:r>
            <w:fldChar w:fldCharType="separate"/>
          </w:r>
          <w:r>
            <w:rPr>
              <w:rStyle w:val="14"/>
              <w:rFonts w:ascii="黑体" w:hAnsi="黑体" w:eastAsia="黑体" w:cs="黑体"/>
              <w:b/>
              <w:bCs/>
            </w:rPr>
            <w:t>2 术语</w:t>
          </w:r>
          <w:r>
            <w:tab/>
          </w:r>
          <w:r>
            <w:fldChar w:fldCharType="begin"/>
          </w:r>
          <w:r>
            <w:instrText xml:space="preserve"> PAGEREF _Toc190693024 \h </w:instrText>
          </w:r>
          <w:r>
            <w:fldChar w:fldCharType="separate"/>
          </w:r>
          <w:r>
            <w:t>4</w:t>
          </w:r>
          <w:r>
            <w:fldChar w:fldCharType="end"/>
          </w:r>
          <w:r>
            <w:fldChar w:fldCharType="end"/>
          </w:r>
        </w:p>
        <w:p w14:paraId="3F69AC23">
          <w:pPr>
            <w:pStyle w:val="8"/>
            <w:tabs>
              <w:tab w:val="right" w:leader="dot" w:pos="8296"/>
            </w:tabs>
            <w:rPr>
              <w:szCs w:val="22"/>
            </w:rPr>
          </w:pPr>
          <w:r>
            <w:fldChar w:fldCharType="begin"/>
          </w:r>
          <w:r>
            <w:instrText xml:space="preserve"> HYPERLINK \l "_Toc190693025" </w:instrText>
          </w:r>
          <w:r>
            <w:fldChar w:fldCharType="separate"/>
          </w:r>
          <w:r>
            <w:rPr>
              <w:rStyle w:val="14"/>
              <w:rFonts w:ascii="黑体" w:hAnsi="黑体" w:eastAsia="黑体" w:cs="黑体"/>
              <w:bCs/>
            </w:rPr>
            <w:t>3 基本规定</w:t>
          </w:r>
          <w:r>
            <w:tab/>
          </w:r>
          <w:r>
            <w:fldChar w:fldCharType="begin"/>
          </w:r>
          <w:r>
            <w:instrText xml:space="preserve"> PAGEREF _Toc190693025 \h </w:instrText>
          </w:r>
          <w:r>
            <w:fldChar w:fldCharType="separate"/>
          </w:r>
          <w:r>
            <w:t>6</w:t>
          </w:r>
          <w:r>
            <w:fldChar w:fldCharType="end"/>
          </w:r>
          <w:r>
            <w:fldChar w:fldCharType="end"/>
          </w:r>
        </w:p>
        <w:p w14:paraId="2234DCA2">
          <w:pPr>
            <w:pStyle w:val="9"/>
            <w:tabs>
              <w:tab w:val="right" w:leader="dot" w:pos="8296"/>
            </w:tabs>
            <w:rPr>
              <w:szCs w:val="22"/>
            </w:rPr>
          </w:pPr>
          <w:r>
            <w:fldChar w:fldCharType="begin"/>
          </w:r>
          <w:r>
            <w:instrText xml:space="preserve"> HYPERLINK \l "_Toc190693026" </w:instrText>
          </w:r>
          <w:r>
            <w:fldChar w:fldCharType="separate"/>
          </w:r>
          <w:r>
            <w:rPr>
              <w:rStyle w:val="14"/>
              <w:rFonts w:ascii="黑体" w:hAnsi="黑体" w:eastAsia="黑体"/>
              <w:b/>
              <w:bCs/>
            </w:rPr>
            <w:t>3.1 重点区域分级与功能分类</w:t>
          </w:r>
          <w:r>
            <w:tab/>
          </w:r>
          <w:r>
            <w:fldChar w:fldCharType="begin"/>
          </w:r>
          <w:r>
            <w:instrText xml:space="preserve"> PAGEREF _Toc190693026 \h </w:instrText>
          </w:r>
          <w:r>
            <w:fldChar w:fldCharType="separate"/>
          </w:r>
          <w:r>
            <w:t>6</w:t>
          </w:r>
          <w:r>
            <w:fldChar w:fldCharType="end"/>
          </w:r>
          <w:r>
            <w:fldChar w:fldCharType="end"/>
          </w:r>
        </w:p>
        <w:p w14:paraId="62395E56">
          <w:pPr>
            <w:pStyle w:val="9"/>
            <w:tabs>
              <w:tab w:val="right" w:leader="dot" w:pos="8296"/>
            </w:tabs>
            <w:rPr>
              <w:szCs w:val="22"/>
            </w:rPr>
          </w:pPr>
          <w:r>
            <w:fldChar w:fldCharType="begin"/>
          </w:r>
          <w:r>
            <w:instrText xml:space="preserve"> HYPERLINK \l "_Toc190693027" </w:instrText>
          </w:r>
          <w:r>
            <w:fldChar w:fldCharType="separate"/>
          </w:r>
          <w:r>
            <w:rPr>
              <w:rStyle w:val="14"/>
              <w:rFonts w:ascii="黑体" w:hAnsi="黑体" w:eastAsia="黑体"/>
              <w:b/>
              <w:bCs/>
            </w:rPr>
            <w:t>3.2 地下空间连通规划要求</w:t>
          </w:r>
          <w:r>
            <w:tab/>
          </w:r>
          <w:r>
            <w:fldChar w:fldCharType="begin"/>
          </w:r>
          <w:r>
            <w:instrText xml:space="preserve"> PAGEREF _Toc190693027 \h </w:instrText>
          </w:r>
          <w:r>
            <w:fldChar w:fldCharType="separate"/>
          </w:r>
          <w:r>
            <w:t>6</w:t>
          </w:r>
          <w:r>
            <w:fldChar w:fldCharType="end"/>
          </w:r>
          <w:r>
            <w:fldChar w:fldCharType="end"/>
          </w:r>
        </w:p>
        <w:p w14:paraId="6173BCD0">
          <w:pPr>
            <w:pStyle w:val="8"/>
            <w:tabs>
              <w:tab w:val="right" w:leader="dot" w:pos="8296"/>
            </w:tabs>
            <w:rPr>
              <w:szCs w:val="22"/>
            </w:rPr>
          </w:pPr>
          <w:r>
            <w:fldChar w:fldCharType="begin"/>
          </w:r>
          <w:r>
            <w:instrText xml:space="preserve"> HYPERLINK \l "_Toc190693028" </w:instrText>
          </w:r>
          <w:r>
            <w:fldChar w:fldCharType="separate"/>
          </w:r>
          <w:r>
            <w:rPr>
              <w:rStyle w:val="14"/>
              <w:rFonts w:ascii="黑体" w:hAnsi="黑体" w:eastAsia="黑体"/>
              <w:b/>
              <w:bCs/>
            </w:rPr>
            <w:t>4 总体设计指引</w:t>
          </w:r>
          <w:r>
            <w:tab/>
          </w:r>
          <w:r>
            <w:fldChar w:fldCharType="begin"/>
          </w:r>
          <w:r>
            <w:instrText xml:space="preserve"> PAGEREF _Toc190693028 \h </w:instrText>
          </w:r>
          <w:r>
            <w:fldChar w:fldCharType="separate"/>
          </w:r>
          <w:r>
            <w:t>8</w:t>
          </w:r>
          <w:r>
            <w:fldChar w:fldCharType="end"/>
          </w:r>
          <w:r>
            <w:fldChar w:fldCharType="end"/>
          </w:r>
        </w:p>
        <w:p w14:paraId="1FEC5360">
          <w:pPr>
            <w:pStyle w:val="9"/>
            <w:tabs>
              <w:tab w:val="right" w:leader="dot" w:pos="8296"/>
            </w:tabs>
            <w:rPr>
              <w:szCs w:val="22"/>
            </w:rPr>
          </w:pPr>
          <w:r>
            <w:fldChar w:fldCharType="begin"/>
          </w:r>
          <w:r>
            <w:instrText xml:space="preserve"> HYPERLINK \l "_Toc190693029" </w:instrText>
          </w:r>
          <w:r>
            <w:fldChar w:fldCharType="separate"/>
          </w:r>
          <w:r>
            <w:rPr>
              <w:rStyle w:val="14"/>
              <w:rFonts w:ascii="黑体" w:hAnsi="黑体" w:eastAsia="黑体"/>
              <w:b/>
              <w:bCs/>
            </w:rPr>
            <w:t>4.1 一般规定</w:t>
          </w:r>
          <w:r>
            <w:tab/>
          </w:r>
          <w:r>
            <w:fldChar w:fldCharType="begin"/>
          </w:r>
          <w:r>
            <w:instrText xml:space="preserve"> PAGEREF _Toc190693029 \h </w:instrText>
          </w:r>
          <w:r>
            <w:fldChar w:fldCharType="separate"/>
          </w:r>
          <w:r>
            <w:t>8</w:t>
          </w:r>
          <w:r>
            <w:fldChar w:fldCharType="end"/>
          </w:r>
          <w:r>
            <w:fldChar w:fldCharType="end"/>
          </w:r>
        </w:p>
        <w:p w14:paraId="037F1665">
          <w:pPr>
            <w:pStyle w:val="9"/>
            <w:tabs>
              <w:tab w:val="right" w:leader="dot" w:pos="8296"/>
            </w:tabs>
            <w:rPr>
              <w:szCs w:val="22"/>
            </w:rPr>
          </w:pPr>
          <w:r>
            <w:fldChar w:fldCharType="begin"/>
          </w:r>
          <w:r>
            <w:instrText xml:space="preserve"> HYPERLINK \l "_Toc190693030" </w:instrText>
          </w:r>
          <w:r>
            <w:fldChar w:fldCharType="separate"/>
          </w:r>
          <w:r>
            <w:rPr>
              <w:rStyle w:val="14"/>
              <w:rFonts w:ascii="黑体" w:hAnsi="黑体" w:eastAsia="黑体"/>
              <w:b/>
              <w:bCs/>
            </w:rPr>
            <w:t>4.2 地下连通需求</w:t>
          </w:r>
          <w:r>
            <w:tab/>
          </w:r>
          <w:r>
            <w:fldChar w:fldCharType="begin"/>
          </w:r>
          <w:r>
            <w:instrText xml:space="preserve"> PAGEREF _Toc190693030 \h </w:instrText>
          </w:r>
          <w:r>
            <w:fldChar w:fldCharType="separate"/>
          </w:r>
          <w:r>
            <w:t>9</w:t>
          </w:r>
          <w:r>
            <w:fldChar w:fldCharType="end"/>
          </w:r>
          <w:r>
            <w:fldChar w:fldCharType="end"/>
          </w:r>
        </w:p>
        <w:p w14:paraId="43771A4D">
          <w:pPr>
            <w:pStyle w:val="9"/>
            <w:tabs>
              <w:tab w:val="right" w:leader="dot" w:pos="8296"/>
            </w:tabs>
            <w:rPr>
              <w:szCs w:val="22"/>
            </w:rPr>
          </w:pPr>
          <w:r>
            <w:fldChar w:fldCharType="begin"/>
          </w:r>
          <w:r>
            <w:instrText xml:space="preserve"> HYPERLINK \l "_Toc190693031" </w:instrText>
          </w:r>
          <w:r>
            <w:fldChar w:fldCharType="separate"/>
          </w:r>
          <w:r>
            <w:rPr>
              <w:rStyle w:val="14"/>
              <w:rFonts w:ascii="黑体" w:hAnsi="黑体" w:eastAsia="黑体"/>
              <w:b/>
              <w:bCs/>
            </w:rPr>
            <w:t>4.3 地下公共连通空间的构成和组织</w:t>
          </w:r>
          <w:r>
            <w:tab/>
          </w:r>
          <w:r>
            <w:fldChar w:fldCharType="begin"/>
          </w:r>
          <w:r>
            <w:instrText xml:space="preserve"> PAGEREF _Toc190693031 \h </w:instrText>
          </w:r>
          <w:r>
            <w:fldChar w:fldCharType="separate"/>
          </w:r>
          <w:r>
            <w:t>10</w:t>
          </w:r>
          <w:r>
            <w:fldChar w:fldCharType="end"/>
          </w:r>
          <w:r>
            <w:fldChar w:fldCharType="end"/>
          </w:r>
        </w:p>
        <w:p w14:paraId="4F660A33">
          <w:pPr>
            <w:pStyle w:val="8"/>
            <w:tabs>
              <w:tab w:val="right" w:leader="dot" w:pos="8296"/>
            </w:tabs>
            <w:rPr>
              <w:szCs w:val="22"/>
            </w:rPr>
          </w:pPr>
          <w:r>
            <w:fldChar w:fldCharType="begin"/>
          </w:r>
          <w:r>
            <w:instrText xml:space="preserve"> HYPERLINK \l "_Toc190693032" </w:instrText>
          </w:r>
          <w:r>
            <w:fldChar w:fldCharType="separate"/>
          </w:r>
          <w:r>
            <w:rPr>
              <w:rStyle w:val="14"/>
              <w:rFonts w:ascii="黑体" w:hAnsi="黑体" w:eastAsia="黑体"/>
              <w:b/>
              <w:bCs/>
            </w:rPr>
            <w:t>5 专项设计指引</w:t>
          </w:r>
          <w:r>
            <w:tab/>
          </w:r>
          <w:r>
            <w:fldChar w:fldCharType="begin"/>
          </w:r>
          <w:r>
            <w:instrText xml:space="preserve"> PAGEREF _Toc190693032 \h </w:instrText>
          </w:r>
          <w:r>
            <w:fldChar w:fldCharType="separate"/>
          </w:r>
          <w:r>
            <w:t>13</w:t>
          </w:r>
          <w:r>
            <w:fldChar w:fldCharType="end"/>
          </w:r>
          <w:r>
            <w:fldChar w:fldCharType="end"/>
          </w:r>
        </w:p>
        <w:p w14:paraId="0F6CDA96">
          <w:pPr>
            <w:pStyle w:val="9"/>
            <w:tabs>
              <w:tab w:val="right" w:leader="dot" w:pos="8296"/>
            </w:tabs>
            <w:rPr>
              <w:szCs w:val="22"/>
            </w:rPr>
          </w:pPr>
          <w:r>
            <w:fldChar w:fldCharType="begin"/>
          </w:r>
          <w:r>
            <w:instrText xml:space="preserve"> HYPERLINK \l "_Toc190693033" </w:instrText>
          </w:r>
          <w:r>
            <w:fldChar w:fldCharType="separate"/>
          </w:r>
          <w:r>
            <w:rPr>
              <w:rStyle w:val="14"/>
              <w:rFonts w:ascii="黑体" w:hAnsi="黑体" w:eastAsia="黑体"/>
              <w:b/>
              <w:bCs/>
            </w:rPr>
            <w:t>5.1 设计通用要求</w:t>
          </w:r>
          <w:r>
            <w:tab/>
          </w:r>
          <w:r>
            <w:fldChar w:fldCharType="begin"/>
          </w:r>
          <w:r>
            <w:instrText xml:space="preserve"> PAGEREF _Toc190693033 \h </w:instrText>
          </w:r>
          <w:r>
            <w:fldChar w:fldCharType="separate"/>
          </w:r>
          <w:r>
            <w:t>13</w:t>
          </w:r>
          <w:r>
            <w:fldChar w:fldCharType="end"/>
          </w:r>
          <w:r>
            <w:fldChar w:fldCharType="end"/>
          </w:r>
        </w:p>
        <w:p w14:paraId="2164FB99">
          <w:pPr>
            <w:pStyle w:val="9"/>
            <w:tabs>
              <w:tab w:val="right" w:leader="dot" w:pos="8296"/>
            </w:tabs>
            <w:rPr>
              <w:szCs w:val="22"/>
            </w:rPr>
          </w:pPr>
          <w:r>
            <w:fldChar w:fldCharType="begin"/>
          </w:r>
          <w:r>
            <w:instrText xml:space="preserve"> HYPERLINK \l "_Toc190693034" </w:instrText>
          </w:r>
          <w:r>
            <w:fldChar w:fldCharType="separate"/>
          </w:r>
          <w:r>
            <w:rPr>
              <w:rStyle w:val="14"/>
              <w:rFonts w:ascii="黑体" w:hAnsi="黑体" w:eastAsia="黑体"/>
              <w:b/>
              <w:bCs/>
            </w:rPr>
            <w:t>5.2 地下连通通道设计</w:t>
          </w:r>
          <w:r>
            <w:tab/>
          </w:r>
          <w:r>
            <w:fldChar w:fldCharType="begin"/>
          </w:r>
          <w:r>
            <w:instrText xml:space="preserve"> PAGEREF _Toc190693034 \h </w:instrText>
          </w:r>
          <w:r>
            <w:fldChar w:fldCharType="separate"/>
          </w:r>
          <w:r>
            <w:t>14</w:t>
          </w:r>
          <w:r>
            <w:fldChar w:fldCharType="end"/>
          </w:r>
          <w:r>
            <w:fldChar w:fldCharType="end"/>
          </w:r>
        </w:p>
        <w:p w14:paraId="3944F956">
          <w:pPr>
            <w:pStyle w:val="9"/>
            <w:tabs>
              <w:tab w:val="right" w:leader="dot" w:pos="8296"/>
            </w:tabs>
            <w:rPr>
              <w:szCs w:val="22"/>
            </w:rPr>
          </w:pPr>
          <w:r>
            <w:fldChar w:fldCharType="begin"/>
          </w:r>
          <w:r>
            <w:instrText xml:space="preserve"> HYPERLINK \l "_Toc190693035" </w:instrText>
          </w:r>
          <w:r>
            <w:fldChar w:fldCharType="separate"/>
          </w:r>
          <w:r>
            <w:rPr>
              <w:rStyle w:val="14"/>
              <w:rFonts w:ascii="黑体" w:hAnsi="黑体" w:eastAsia="黑体"/>
              <w:b/>
              <w:bCs/>
            </w:rPr>
            <w:t>5.3 下沉广场设计</w:t>
          </w:r>
          <w:r>
            <w:tab/>
          </w:r>
          <w:r>
            <w:fldChar w:fldCharType="begin"/>
          </w:r>
          <w:r>
            <w:instrText xml:space="preserve"> PAGEREF _Toc190693035 \h </w:instrText>
          </w:r>
          <w:r>
            <w:fldChar w:fldCharType="separate"/>
          </w:r>
          <w:r>
            <w:t>15</w:t>
          </w:r>
          <w:r>
            <w:fldChar w:fldCharType="end"/>
          </w:r>
          <w:r>
            <w:fldChar w:fldCharType="end"/>
          </w:r>
        </w:p>
        <w:p w14:paraId="6CBB8325">
          <w:pPr>
            <w:pStyle w:val="9"/>
            <w:tabs>
              <w:tab w:val="right" w:leader="dot" w:pos="8296"/>
            </w:tabs>
            <w:rPr>
              <w:szCs w:val="22"/>
            </w:rPr>
          </w:pPr>
          <w:r>
            <w:fldChar w:fldCharType="begin"/>
          </w:r>
          <w:r>
            <w:instrText xml:space="preserve"> HYPERLINK \l "_Toc190693036" </w:instrText>
          </w:r>
          <w:r>
            <w:fldChar w:fldCharType="separate"/>
          </w:r>
          <w:r>
            <w:rPr>
              <w:rStyle w:val="14"/>
              <w:rFonts w:ascii="黑体" w:hAnsi="黑体" w:eastAsia="黑体"/>
              <w:b/>
              <w:bCs/>
            </w:rPr>
            <w:t>5.4 地下中庭设计</w:t>
          </w:r>
          <w:r>
            <w:tab/>
          </w:r>
          <w:r>
            <w:fldChar w:fldCharType="begin"/>
          </w:r>
          <w:r>
            <w:instrText xml:space="preserve"> PAGEREF _Toc190693036 \h </w:instrText>
          </w:r>
          <w:r>
            <w:fldChar w:fldCharType="separate"/>
          </w:r>
          <w:r>
            <w:t>16</w:t>
          </w:r>
          <w:r>
            <w:fldChar w:fldCharType="end"/>
          </w:r>
          <w:r>
            <w:fldChar w:fldCharType="end"/>
          </w:r>
        </w:p>
        <w:p w14:paraId="05F7DC53">
          <w:pPr>
            <w:pStyle w:val="9"/>
            <w:tabs>
              <w:tab w:val="right" w:leader="dot" w:pos="8296"/>
            </w:tabs>
            <w:rPr>
              <w:szCs w:val="22"/>
            </w:rPr>
          </w:pPr>
          <w:r>
            <w:fldChar w:fldCharType="begin"/>
          </w:r>
          <w:r>
            <w:instrText xml:space="preserve"> HYPERLINK \l "_Toc190693037" </w:instrText>
          </w:r>
          <w:r>
            <w:fldChar w:fldCharType="separate"/>
          </w:r>
          <w:r>
            <w:rPr>
              <w:rStyle w:val="14"/>
              <w:rFonts w:ascii="黑体" w:hAnsi="黑体" w:eastAsia="黑体"/>
              <w:b/>
              <w:bCs/>
            </w:rPr>
            <w:t>5.5 人性化设施提升</w:t>
          </w:r>
          <w:r>
            <w:tab/>
          </w:r>
          <w:r>
            <w:fldChar w:fldCharType="begin"/>
          </w:r>
          <w:r>
            <w:instrText xml:space="preserve"> PAGEREF _Toc190693037 \h </w:instrText>
          </w:r>
          <w:r>
            <w:fldChar w:fldCharType="separate"/>
          </w:r>
          <w:r>
            <w:t>17</w:t>
          </w:r>
          <w:r>
            <w:fldChar w:fldCharType="end"/>
          </w:r>
          <w:r>
            <w:fldChar w:fldCharType="end"/>
          </w:r>
        </w:p>
        <w:p w14:paraId="543C82CD">
          <w:pPr>
            <w:pStyle w:val="8"/>
            <w:tabs>
              <w:tab w:val="right" w:leader="dot" w:pos="8296"/>
            </w:tabs>
            <w:rPr>
              <w:szCs w:val="22"/>
            </w:rPr>
          </w:pPr>
          <w:r>
            <w:fldChar w:fldCharType="begin"/>
          </w:r>
          <w:r>
            <w:instrText xml:space="preserve"> HYPERLINK \l "_Toc190693038" </w:instrText>
          </w:r>
          <w:r>
            <w:fldChar w:fldCharType="separate"/>
          </w:r>
          <w:r>
            <w:rPr>
              <w:rStyle w:val="14"/>
              <w:rFonts w:ascii="黑体" w:hAnsi="黑体" w:eastAsia="黑体"/>
              <w:b/>
              <w:bCs/>
            </w:rPr>
            <w:t>6 地上地下空间一体化设计</w:t>
          </w:r>
          <w:r>
            <w:tab/>
          </w:r>
          <w:r>
            <w:fldChar w:fldCharType="begin"/>
          </w:r>
          <w:r>
            <w:instrText xml:space="preserve"> PAGEREF _Toc190693038 \h </w:instrText>
          </w:r>
          <w:r>
            <w:fldChar w:fldCharType="separate"/>
          </w:r>
          <w:r>
            <w:t>20</w:t>
          </w:r>
          <w:r>
            <w:fldChar w:fldCharType="end"/>
          </w:r>
          <w:r>
            <w:fldChar w:fldCharType="end"/>
          </w:r>
        </w:p>
        <w:p w14:paraId="04FC2B5E">
          <w:pPr>
            <w:pStyle w:val="9"/>
            <w:tabs>
              <w:tab w:val="right" w:leader="dot" w:pos="8296"/>
            </w:tabs>
            <w:rPr>
              <w:szCs w:val="22"/>
            </w:rPr>
          </w:pPr>
          <w:r>
            <w:fldChar w:fldCharType="begin"/>
          </w:r>
          <w:r>
            <w:instrText xml:space="preserve"> HYPERLINK \l "_Toc190693039" </w:instrText>
          </w:r>
          <w:r>
            <w:fldChar w:fldCharType="separate"/>
          </w:r>
          <w:r>
            <w:rPr>
              <w:rStyle w:val="14"/>
              <w:rFonts w:ascii="黑体" w:hAnsi="黑体" w:eastAsia="黑体"/>
              <w:b/>
              <w:bCs/>
            </w:rPr>
            <w:t>6.1 建筑空间一体化</w:t>
          </w:r>
          <w:r>
            <w:tab/>
          </w:r>
          <w:r>
            <w:fldChar w:fldCharType="begin"/>
          </w:r>
          <w:r>
            <w:instrText xml:space="preserve"> PAGEREF _Toc190693039 \h </w:instrText>
          </w:r>
          <w:r>
            <w:fldChar w:fldCharType="separate"/>
          </w:r>
          <w:r>
            <w:t>20</w:t>
          </w:r>
          <w:r>
            <w:fldChar w:fldCharType="end"/>
          </w:r>
          <w:r>
            <w:fldChar w:fldCharType="end"/>
          </w:r>
        </w:p>
        <w:p w14:paraId="0AE81E3F">
          <w:pPr>
            <w:pStyle w:val="9"/>
            <w:tabs>
              <w:tab w:val="right" w:leader="dot" w:pos="8296"/>
            </w:tabs>
            <w:rPr>
              <w:szCs w:val="22"/>
            </w:rPr>
          </w:pPr>
          <w:r>
            <w:fldChar w:fldCharType="begin"/>
          </w:r>
          <w:r>
            <w:instrText xml:space="preserve"> HYPERLINK \l "_Toc190693040" </w:instrText>
          </w:r>
          <w:r>
            <w:fldChar w:fldCharType="separate"/>
          </w:r>
          <w:r>
            <w:rPr>
              <w:rStyle w:val="14"/>
              <w:rFonts w:ascii="黑体" w:hAnsi="黑体" w:eastAsia="黑体"/>
              <w:b/>
              <w:bCs/>
            </w:rPr>
            <w:t>6.2 垂直交通一体化</w:t>
          </w:r>
          <w:r>
            <w:tab/>
          </w:r>
          <w:r>
            <w:fldChar w:fldCharType="begin"/>
          </w:r>
          <w:r>
            <w:instrText xml:space="preserve"> PAGEREF _Toc190693040 \h </w:instrText>
          </w:r>
          <w:r>
            <w:fldChar w:fldCharType="separate"/>
          </w:r>
          <w:r>
            <w:t>20</w:t>
          </w:r>
          <w:r>
            <w:fldChar w:fldCharType="end"/>
          </w:r>
          <w:r>
            <w:fldChar w:fldCharType="end"/>
          </w:r>
        </w:p>
        <w:p w14:paraId="43D52DEA">
          <w:pPr>
            <w:pStyle w:val="9"/>
            <w:tabs>
              <w:tab w:val="right" w:leader="dot" w:pos="8296"/>
            </w:tabs>
            <w:rPr>
              <w:szCs w:val="22"/>
            </w:rPr>
          </w:pPr>
          <w:r>
            <w:fldChar w:fldCharType="begin"/>
          </w:r>
          <w:r>
            <w:instrText xml:space="preserve"> HYPERLINK \l "_Toc190693041" </w:instrText>
          </w:r>
          <w:r>
            <w:fldChar w:fldCharType="separate"/>
          </w:r>
          <w:r>
            <w:rPr>
              <w:rStyle w:val="14"/>
              <w:rFonts w:ascii="黑体" w:hAnsi="黑体" w:eastAsia="黑体"/>
              <w:b/>
              <w:bCs/>
            </w:rPr>
            <w:t>6.3 结构一体化</w:t>
          </w:r>
          <w:r>
            <w:tab/>
          </w:r>
          <w:r>
            <w:fldChar w:fldCharType="begin"/>
          </w:r>
          <w:r>
            <w:instrText xml:space="preserve"> PAGEREF _Toc190693041 \h </w:instrText>
          </w:r>
          <w:r>
            <w:fldChar w:fldCharType="separate"/>
          </w:r>
          <w:r>
            <w:t>22</w:t>
          </w:r>
          <w:r>
            <w:fldChar w:fldCharType="end"/>
          </w:r>
          <w:r>
            <w:fldChar w:fldCharType="end"/>
          </w:r>
        </w:p>
        <w:p w14:paraId="1EF8DADC">
          <w:pPr>
            <w:pStyle w:val="9"/>
            <w:tabs>
              <w:tab w:val="right" w:leader="dot" w:pos="8296"/>
            </w:tabs>
            <w:rPr>
              <w:szCs w:val="22"/>
            </w:rPr>
          </w:pPr>
          <w:r>
            <w:fldChar w:fldCharType="begin"/>
          </w:r>
          <w:r>
            <w:instrText xml:space="preserve"> HYPERLINK \l "_Toc190693042" </w:instrText>
          </w:r>
          <w:r>
            <w:fldChar w:fldCharType="separate"/>
          </w:r>
          <w:r>
            <w:rPr>
              <w:rStyle w:val="14"/>
              <w:rFonts w:ascii="黑体" w:hAnsi="黑体" w:eastAsia="黑体"/>
              <w:b/>
              <w:bCs/>
            </w:rPr>
            <w:t>6.4 设施一体化</w:t>
          </w:r>
          <w:r>
            <w:tab/>
          </w:r>
          <w:r>
            <w:fldChar w:fldCharType="begin"/>
          </w:r>
          <w:r>
            <w:instrText xml:space="preserve"> PAGEREF _Toc190693042 \h </w:instrText>
          </w:r>
          <w:r>
            <w:fldChar w:fldCharType="separate"/>
          </w:r>
          <w:r>
            <w:t>22</w:t>
          </w:r>
          <w:r>
            <w:fldChar w:fldCharType="end"/>
          </w:r>
          <w:r>
            <w:fldChar w:fldCharType="end"/>
          </w:r>
        </w:p>
        <w:p w14:paraId="54CC42C5">
          <w:pPr>
            <w:pStyle w:val="9"/>
            <w:tabs>
              <w:tab w:val="right" w:leader="dot" w:pos="8296"/>
            </w:tabs>
            <w:rPr>
              <w:szCs w:val="22"/>
            </w:rPr>
          </w:pPr>
          <w:r>
            <w:fldChar w:fldCharType="begin"/>
          </w:r>
          <w:r>
            <w:instrText xml:space="preserve"> HYPERLINK \l "_Toc190693043" </w:instrText>
          </w:r>
          <w:r>
            <w:fldChar w:fldCharType="separate"/>
          </w:r>
          <w:r>
            <w:rPr>
              <w:rStyle w:val="14"/>
              <w:rFonts w:ascii="黑体" w:hAnsi="黑体" w:eastAsia="黑体"/>
              <w:b/>
              <w:bCs/>
            </w:rPr>
            <w:t>6.5 防灾一体化</w:t>
          </w:r>
          <w:r>
            <w:tab/>
          </w:r>
          <w:r>
            <w:fldChar w:fldCharType="begin"/>
          </w:r>
          <w:r>
            <w:instrText xml:space="preserve"> PAGEREF _Toc190693043 \h </w:instrText>
          </w:r>
          <w:r>
            <w:fldChar w:fldCharType="separate"/>
          </w:r>
          <w:r>
            <w:t>24</w:t>
          </w:r>
          <w:r>
            <w:fldChar w:fldCharType="end"/>
          </w:r>
          <w:r>
            <w:fldChar w:fldCharType="end"/>
          </w:r>
        </w:p>
        <w:p w14:paraId="016F3B3F">
          <w:pPr>
            <w:rPr>
              <w:b/>
              <w:bCs/>
              <w:sz w:val="28"/>
              <w:szCs w:val="36"/>
            </w:rPr>
            <w:sectPr>
              <w:footerReference r:id="rId5" w:type="default"/>
              <w:pgSz w:w="11906" w:h="16838"/>
              <w:pgMar w:top="1440" w:right="1800" w:bottom="1440" w:left="1800" w:header="851" w:footer="992" w:gutter="0"/>
              <w:cols w:space="425" w:num="1"/>
              <w:docGrid w:type="lines" w:linePitch="312" w:charSpace="0"/>
            </w:sectPr>
          </w:pPr>
          <w:r>
            <w:rPr>
              <w:rFonts w:hint="eastAsia"/>
              <w:bCs/>
              <w:szCs w:val="36"/>
            </w:rPr>
            <w:fldChar w:fldCharType="end"/>
          </w:r>
        </w:p>
      </w:sdtContent>
    </w:sdt>
    <w:p w14:paraId="4B80D07A"/>
    <w:p w14:paraId="6BB6F9A2">
      <w:pPr>
        <w:spacing w:line="360" w:lineRule="auto"/>
        <w:jc w:val="center"/>
        <w:outlineLvl w:val="0"/>
        <w:rPr>
          <w:rFonts w:ascii="黑体" w:hAnsi="黑体" w:eastAsia="黑体" w:cs="黑体"/>
          <w:bCs/>
          <w:sz w:val="30"/>
          <w:szCs w:val="30"/>
        </w:rPr>
      </w:pPr>
      <w:bookmarkStart w:id="2" w:name="_Toc190693023"/>
      <w:r>
        <w:rPr>
          <w:rFonts w:hint="eastAsia" w:ascii="黑体" w:hAnsi="黑体" w:eastAsia="黑体" w:cs="黑体"/>
          <w:bCs/>
          <w:sz w:val="30"/>
          <w:szCs w:val="30"/>
        </w:rPr>
        <w:t>1 总则</w:t>
      </w:r>
      <w:bookmarkEnd w:id="2"/>
    </w:p>
    <w:p w14:paraId="2CDBC529">
      <w:pPr>
        <w:pStyle w:val="15"/>
      </w:pPr>
    </w:p>
    <w:p w14:paraId="766EE2DE">
      <w:pPr>
        <w:pStyle w:val="15"/>
        <w:spacing w:line="360" w:lineRule="auto"/>
        <w:jc w:val="both"/>
        <w:rPr>
          <w:sz w:val="24"/>
          <w:szCs w:val="24"/>
        </w:rPr>
      </w:pPr>
      <w:r>
        <w:rPr>
          <w:rFonts w:hint="eastAsia"/>
          <w:sz w:val="24"/>
          <w:szCs w:val="24"/>
        </w:rPr>
        <w:t>1</w:t>
      </w:r>
      <w:r>
        <w:rPr>
          <w:sz w:val="24"/>
          <w:szCs w:val="24"/>
        </w:rPr>
        <w:t xml:space="preserve">.0.1 </w:t>
      </w:r>
      <w:r>
        <w:rPr>
          <w:rFonts w:hint="eastAsia"/>
          <w:sz w:val="24"/>
          <w:szCs w:val="24"/>
        </w:rPr>
        <w:t>为进一步提升本市地下空间资源的开发利用，促进轨道交通沿线地上地下空间一体化发展，规范城市重点区域地下公共连通空间的设计和建设管理工作， 根据国家和省市有关法规、规范、技术标准和管理规定，并结合本市的实际情况，编制本细则。</w:t>
      </w:r>
    </w:p>
    <w:p w14:paraId="77CFEF64">
      <w:pPr>
        <w:pStyle w:val="15"/>
        <w:spacing w:line="360" w:lineRule="auto"/>
        <w:jc w:val="both"/>
        <w:rPr>
          <w:sz w:val="24"/>
          <w:szCs w:val="24"/>
        </w:rPr>
      </w:pPr>
      <w:r>
        <w:rPr>
          <w:sz w:val="24"/>
          <w:szCs w:val="24"/>
        </w:rPr>
        <w:t xml:space="preserve">1.0.2 </w:t>
      </w:r>
      <w:r>
        <w:rPr>
          <w:rFonts w:hint="eastAsia"/>
          <w:sz w:val="24"/>
          <w:szCs w:val="24"/>
        </w:rPr>
        <w:t>本细则适用于本市轨道交通沿线重点区域范围内地下空间连通工程的规划、设计。</w:t>
      </w:r>
    </w:p>
    <w:p w14:paraId="343A651C">
      <w:pPr>
        <w:pStyle w:val="15"/>
        <w:spacing w:line="360" w:lineRule="auto"/>
        <w:jc w:val="both"/>
        <w:rPr>
          <w:sz w:val="24"/>
          <w:szCs w:val="24"/>
        </w:rPr>
      </w:pPr>
      <w:r>
        <w:rPr>
          <w:rFonts w:hint="eastAsia"/>
          <w:sz w:val="24"/>
          <w:szCs w:val="24"/>
        </w:rPr>
        <w:t>1</w:t>
      </w:r>
      <w:r>
        <w:rPr>
          <w:sz w:val="24"/>
          <w:szCs w:val="24"/>
        </w:rPr>
        <w:t xml:space="preserve">.0.3 </w:t>
      </w:r>
      <w:r>
        <w:rPr>
          <w:rFonts w:hint="eastAsia"/>
          <w:sz w:val="24"/>
          <w:szCs w:val="24"/>
        </w:rPr>
        <w:t>重点区域地下公共连通空间的设计，应保障安全和品质，坚持以人为本、综合高效、生态友好、运营安全等原则，有利于节约土地、提高土地利用效率、改善人居环境、提高城市抵御灾害和人民防空的能力。</w:t>
      </w:r>
    </w:p>
    <w:p w14:paraId="233CEE40">
      <w:pPr>
        <w:pStyle w:val="15"/>
        <w:spacing w:line="360" w:lineRule="auto"/>
        <w:jc w:val="both"/>
        <w:rPr>
          <w:sz w:val="24"/>
          <w:szCs w:val="24"/>
        </w:rPr>
      </w:pPr>
      <w:r>
        <w:rPr>
          <w:rFonts w:hint="eastAsia"/>
          <w:sz w:val="24"/>
          <w:szCs w:val="24"/>
        </w:rPr>
        <w:t>1</w:t>
      </w:r>
      <w:r>
        <w:rPr>
          <w:sz w:val="24"/>
          <w:szCs w:val="24"/>
        </w:rPr>
        <w:t xml:space="preserve">.0.4 </w:t>
      </w:r>
      <w:r>
        <w:rPr>
          <w:rFonts w:hint="eastAsia"/>
          <w:sz w:val="24"/>
          <w:szCs w:val="24"/>
        </w:rPr>
        <w:t>重点区域地下公共连通空间的设计除应符合本细则要求外， 尚应符合国家和省市现行相关标准的规定。</w:t>
      </w:r>
    </w:p>
    <w:p w14:paraId="44DF4BDB">
      <w:r>
        <w:rPr>
          <w:rFonts w:hint="eastAsia"/>
        </w:rPr>
        <w:br w:type="page"/>
      </w:r>
    </w:p>
    <w:p w14:paraId="4DC06F6B"/>
    <w:p w14:paraId="79DA1E57">
      <w:pPr>
        <w:spacing w:line="360" w:lineRule="auto"/>
        <w:jc w:val="center"/>
        <w:outlineLvl w:val="0"/>
        <w:rPr>
          <w:rFonts w:ascii="黑体" w:hAnsi="黑体" w:eastAsia="黑体" w:cs="黑体"/>
          <w:b/>
          <w:bCs/>
          <w:sz w:val="30"/>
          <w:szCs w:val="30"/>
        </w:rPr>
      </w:pPr>
      <w:bookmarkStart w:id="3" w:name="_Toc190693024"/>
      <w:r>
        <w:rPr>
          <w:rFonts w:hint="eastAsia" w:ascii="黑体" w:hAnsi="黑体" w:eastAsia="黑体" w:cs="黑体"/>
          <w:b/>
          <w:bCs/>
          <w:sz w:val="30"/>
          <w:szCs w:val="30"/>
        </w:rPr>
        <w:t>2 术语</w:t>
      </w:r>
      <w:bookmarkEnd w:id="3"/>
    </w:p>
    <w:p w14:paraId="2F43A02B">
      <w:pPr>
        <w:pStyle w:val="15"/>
      </w:pPr>
    </w:p>
    <w:p w14:paraId="5B5220F0">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2.0.1 城市地下空间</w:t>
      </w:r>
    </w:p>
    <w:p w14:paraId="2871E041">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城市行政区域内地表以下，自然形成或人工开发的空间，是地面空间的延伸和补充。</w:t>
      </w:r>
    </w:p>
    <w:p w14:paraId="311DD48D">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2.0.2 地下空间重点区域 </w:t>
      </w:r>
    </w:p>
    <w:p w14:paraId="24213043">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地下空间开发利用专项规划和地下空间建设规划中明确的地下空间总体布局结构中重点开发利用的中心区域和主要片区。在本细则中特指轨道交通沿线的地下空间重点区域，简称重点区域。</w:t>
      </w:r>
    </w:p>
    <w:p w14:paraId="2E012C26">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2.0.3 地下公共空间 </w:t>
      </w:r>
    </w:p>
    <w:p w14:paraId="40DF898D">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位于地面下，供</w:t>
      </w:r>
      <w:bookmarkStart w:id="29" w:name="_GoBack"/>
      <w:bookmarkEnd w:id="29"/>
      <w:r>
        <w:rPr>
          <w:rFonts w:hint="eastAsia" w:asciiTheme="minorEastAsia" w:hAnsiTheme="minorEastAsia" w:eastAsiaTheme="minorEastAsia"/>
          <w:sz w:val="24"/>
          <w:szCs w:val="24"/>
        </w:rPr>
        <w:t>公众使用的空间。</w:t>
      </w:r>
    </w:p>
    <w:p w14:paraId="2AAA758A">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2.0.4 地下公共连通空间</w:t>
      </w:r>
    </w:p>
    <w:p w14:paraId="678787C2">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连接不同地下空间或设施之间的并且供公众进行活动的空间。</w:t>
      </w:r>
    </w:p>
    <w:p w14:paraId="0374B56C">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2.0.5 地下连通通道</w:t>
      </w:r>
    </w:p>
    <w:p w14:paraId="0193C687">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本细则中指设置在地面以下专供行人使用的公共通道。</w:t>
      </w:r>
    </w:p>
    <w:p w14:paraId="1D35D5FB">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2.0.</w:t>
      </w:r>
      <w:r>
        <w:rPr>
          <w:rFonts w:asciiTheme="minorEastAsia" w:hAnsiTheme="minorEastAsia" w:eastAsiaTheme="minorEastAsia"/>
          <w:sz w:val="24"/>
          <w:szCs w:val="24"/>
        </w:rPr>
        <w:t>6</w:t>
      </w:r>
      <w:r>
        <w:rPr>
          <w:rFonts w:hint="eastAsia" w:asciiTheme="minorEastAsia" w:hAnsiTheme="minorEastAsia" w:eastAsiaTheme="minorEastAsia"/>
          <w:sz w:val="24"/>
          <w:szCs w:val="24"/>
        </w:rPr>
        <w:t xml:space="preserve"> 下沉式广场</w:t>
      </w:r>
    </w:p>
    <w:p w14:paraId="16672665">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位于地面下的庭院式广场， 为地下建筑提供侧向的水平交通、 集散、衔接和过渡空间以及通风采光的建筑空间。</w:t>
      </w:r>
    </w:p>
    <w:p w14:paraId="325FAEBC">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2.0.</w:t>
      </w:r>
      <w:r>
        <w:rPr>
          <w:rFonts w:asciiTheme="minorEastAsia" w:hAnsiTheme="minorEastAsia" w:eastAsiaTheme="minorEastAsia"/>
          <w:sz w:val="24"/>
          <w:szCs w:val="24"/>
        </w:rPr>
        <w:t>7</w:t>
      </w:r>
      <w:r>
        <w:rPr>
          <w:rFonts w:hint="eastAsia" w:asciiTheme="minorEastAsia" w:hAnsiTheme="minorEastAsia" w:eastAsiaTheme="minorEastAsia"/>
          <w:sz w:val="24"/>
          <w:szCs w:val="24"/>
        </w:rPr>
        <w:t xml:space="preserve"> 地下中庭</w:t>
      </w:r>
    </w:p>
    <w:p w14:paraId="0ABBEB2E">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地下建筑中竖向贯穿多层地下空间的共享大厅。 </w:t>
      </w:r>
    </w:p>
    <w:p w14:paraId="2FCA15D2">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w:t>
      </w:r>
      <w:r>
        <w:rPr>
          <w:rFonts w:asciiTheme="minorEastAsia" w:hAnsiTheme="minorEastAsia" w:eastAsiaTheme="minorEastAsia"/>
          <w:sz w:val="24"/>
          <w:szCs w:val="24"/>
        </w:rPr>
        <w:t xml:space="preserve">.0.8 </w:t>
      </w:r>
      <w:r>
        <w:rPr>
          <w:rFonts w:hint="eastAsia" w:asciiTheme="minorEastAsia" w:hAnsiTheme="minorEastAsia" w:eastAsiaTheme="minorEastAsia"/>
          <w:sz w:val="24"/>
          <w:szCs w:val="24"/>
        </w:rPr>
        <w:t>必连地块</w:t>
      </w:r>
    </w:p>
    <w:p w14:paraId="4D710335">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根据连通必要性评估，最需要联系的地块，其建筑必须与轨道交通车站直接连通，包括城市对外交通枢纽、市级重要商业设施及公共服务设施等。</w:t>
      </w:r>
    </w:p>
    <w:p w14:paraId="44EB1C4E">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w:t>
      </w:r>
      <w:r>
        <w:rPr>
          <w:rFonts w:asciiTheme="minorEastAsia" w:hAnsiTheme="minorEastAsia" w:eastAsiaTheme="minorEastAsia"/>
          <w:sz w:val="24"/>
          <w:szCs w:val="24"/>
        </w:rPr>
        <w:t xml:space="preserve">.0.9 </w:t>
      </w:r>
      <w:r>
        <w:rPr>
          <w:rFonts w:hint="eastAsia" w:asciiTheme="minorEastAsia" w:hAnsiTheme="minorEastAsia" w:eastAsiaTheme="minorEastAsia"/>
          <w:sz w:val="24"/>
          <w:szCs w:val="24"/>
        </w:rPr>
        <w:t>尽连地块</w:t>
      </w:r>
    </w:p>
    <w:p w14:paraId="570C83CE">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规划建议尽量连通的地块，其建筑尽量与轨道交通车站直接连通，包括片区级商业设施和公共服务设施、规模较大的商务办公设施等。</w:t>
      </w:r>
    </w:p>
    <w:p w14:paraId="411D80C8">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w:t>
      </w:r>
      <w:r>
        <w:rPr>
          <w:rFonts w:asciiTheme="minorEastAsia" w:hAnsiTheme="minorEastAsia" w:eastAsiaTheme="minorEastAsia"/>
          <w:sz w:val="24"/>
          <w:szCs w:val="24"/>
        </w:rPr>
        <w:t xml:space="preserve">.0.10 </w:t>
      </w:r>
      <w:r>
        <w:rPr>
          <w:rFonts w:hint="eastAsia" w:asciiTheme="minorEastAsia" w:hAnsiTheme="minorEastAsia" w:eastAsiaTheme="minorEastAsia"/>
          <w:sz w:val="24"/>
          <w:szCs w:val="24"/>
        </w:rPr>
        <w:t>可连地块</w:t>
      </w:r>
    </w:p>
    <w:p w14:paraId="25C4F722">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站域空间中可连通的地块，其建筑鼓励与轨道交通车站连通，包括社区级公共服务设施、规模一般的商业、办公等设施等。</w:t>
      </w:r>
    </w:p>
    <w:p w14:paraId="69F4C65A">
      <w:pPr>
        <w:pStyle w:val="15"/>
        <w:spacing w:line="360" w:lineRule="auto"/>
        <w:jc w:val="both"/>
        <w:rPr>
          <w:rFonts w:asciiTheme="minorEastAsia" w:hAnsiTheme="minorEastAsia" w:eastAsiaTheme="minorEastAsia"/>
          <w:sz w:val="24"/>
          <w:szCs w:val="24"/>
        </w:rPr>
      </w:pPr>
      <w:r>
        <w:rPr>
          <w:rFonts w:hint="eastAsia" w:asciiTheme="minorEastAsia" w:hAnsiTheme="minorEastAsia" w:eastAsiaTheme="minorEastAsia"/>
          <w:sz w:val="24"/>
          <w:szCs w:val="24"/>
        </w:rPr>
        <w:t>2</w:t>
      </w:r>
      <w:r>
        <w:rPr>
          <w:rFonts w:asciiTheme="minorEastAsia" w:hAnsiTheme="minorEastAsia" w:eastAsiaTheme="minorEastAsia"/>
          <w:sz w:val="24"/>
          <w:szCs w:val="24"/>
        </w:rPr>
        <w:t xml:space="preserve">.0.11 </w:t>
      </w:r>
      <w:r>
        <w:rPr>
          <w:rFonts w:hint="eastAsia" w:asciiTheme="minorEastAsia" w:hAnsiTheme="minorEastAsia" w:eastAsiaTheme="minorEastAsia"/>
          <w:sz w:val="24"/>
          <w:szCs w:val="24"/>
        </w:rPr>
        <w:t>不连地块</w:t>
      </w:r>
    </w:p>
    <w:p w14:paraId="6B5E004A">
      <w:pPr>
        <w:pStyle w:val="15"/>
        <w:spacing w:line="360" w:lineRule="auto"/>
        <w:ind w:firstLine="480" w:firstLineChars="200"/>
        <w:jc w:val="both"/>
        <w:rPr>
          <w:rFonts w:asciiTheme="minorEastAsia" w:hAnsiTheme="minorEastAsia" w:eastAsiaTheme="minorEastAsia"/>
          <w:sz w:val="24"/>
          <w:szCs w:val="24"/>
        </w:rPr>
      </w:pPr>
      <w:r>
        <w:rPr>
          <w:rFonts w:hint="eastAsia" w:asciiTheme="minorEastAsia" w:hAnsiTheme="minorEastAsia" w:eastAsiaTheme="minorEastAsia"/>
          <w:sz w:val="24"/>
          <w:szCs w:val="24"/>
        </w:rPr>
        <w:t>根据连通必要性评估，不必联通或联通价值最低的地块，其建筑可不与轨道交通车站连通，包括私密性较强的住宅、规模较小的商业、办公、公园绿地等。</w:t>
      </w:r>
    </w:p>
    <w:p w14:paraId="6DBC3564"/>
    <w:p w14:paraId="3D848531">
      <w:pPr>
        <w:widowControl/>
        <w:jc w:val="left"/>
      </w:pPr>
      <w:r>
        <w:br w:type="page"/>
      </w:r>
    </w:p>
    <w:p w14:paraId="11F155A2"/>
    <w:p w14:paraId="74FA86BB">
      <w:pPr>
        <w:spacing w:line="360" w:lineRule="auto"/>
        <w:jc w:val="center"/>
        <w:outlineLvl w:val="0"/>
        <w:rPr>
          <w:rFonts w:ascii="黑体" w:hAnsi="黑体" w:eastAsia="黑体" w:cs="黑体"/>
          <w:bCs/>
          <w:sz w:val="30"/>
          <w:szCs w:val="30"/>
        </w:rPr>
      </w:pPr>
      <w:bookmarkStart w:id="4" w:name="_Toc190693025"/>
      <w:r>
        <w:rPr>
          <w:rFonts w:hint="eastAsia" w:ascii="黑体" w:hAnsi="黑体" w:eastAsia="黑体" w:cs="黑体"/>
          <w:bCs/>
          <w:sz w:val="30"/>
          <w:szCs w:val="30"/>
        </w:rPr>
        <w:t>3 基本规定</w:t>
      </w:r>
      <w:bookmarkEnd w:id="4"/>
    </w:p>
    <w:p w14:paraId="23ECEAC1"/>
    <w:p w14:paraId="71DF2D02">
      <w:pPr>
        <w:spacing w:line="360" w:lineRule="auto"/>
        <w:jc w:val="center"/>
        <w:outlineLvl w:val="1"/>
        <w:rPr>
          <w:rFonts w:ascii="黑体" w:hAnsi="黑体" w:eastAsia="黑体"/>
          <w:b/>
          <w:bCs/>
          <w:sz w:val="24"/>
        </w:rPr>
      </w:pPr>
      <w:bookmarkStart w:id="5" w:name="_Toc190693026"/>
      <w:bookmarkStart w:id="6" w:name="_Toc26685"/>
      <w:r>
        <w:rPr>
          <w:rFonts w:hint="eastAsia" w:ascii="黑体" w:hAnsi="黑体" w:eastAsia="黑体"/>
          <w:b/>
          <w:bCs/>
          <w:sz w:val="24"/>
        </w:rPr>
        <w:t>3.1 重点区域分级与功能分类</w:t>
      </w:r>
      <w:bookmarkEnd w:id="5"/>
    </w:p>
    <w:p w14:paraId="2F2DB59E"/>
    <w:p w14:paraId="3FF9B9CC">
      <w:pPr>
        <w:spacing w:line="360" w:lineRule="auto"/>
        <w:rPr>
          <w:sz w:val="24"/>
        </w:rPr>
      </w:pPr>
      <w:r>
        <w:rPr>
          <w:rFonts w:hint="eastAsia"/>
          <w:sz w:val="24"/>
        </w:rPr>
        <w:t>3.1</w:t>
      </w:r>
      <w:r>
        <w:rPr>
          <w:sz w:val="24"/>
        </w:rPr>
        <w:t>.1</w:t>
      </w:r>
      <w:r>
        <w:rPr>
          <w:rFonts w:hint="eastAsia"/>
          <w:sz w:val="24"/>
        </w:rPr>
        <w:t xml:space="preserve"> 重点区域范围由城市地下空间专项规划进行划定，并按照上位规划提出的区域功能类型和建设分级。</w:t>
      </w:r>
    </w:p>
    <w:p w14:paraId="1B7E72CA">
      <w:pPr>
        <w:spacing w:line="360" w:lineRule="auto"/>
        <w:rPr>
          <w:sz w:val="24"/>
        </w:rPr>
      </w:pPr>
      <w:r>
        <w:rPr>
          <w:rFonts w:hint="eastAsia"/>
          <w:sz w:val="24"/>
        </w:rPr>
        <w:t>3.</w:t>
      </w:r>
      <w:r>
        <w:rPr>
          <w:sz w:val="24"/>
        </w:rPr>
        <w:t>1.2</w:t>
      </w:r>
      <w:r>
        <w:rPr>
          <w:rFonts w:hint="eastAsia"/>
          <w:sz w:val="24"/>
        </w:rPr>
        <w:t xml:space="preserve"> 重点区域可以分为以下三个层级：</w:t>
      </w:r>
    </w:p>
    <w:p w14:paraId="554AFD13">
      <w:pPr>
        <w:spacing w:line="360" w:lineRule="auto"/>
        <w:ind w:firstLine="480" w:firstLineChars="200"/>
        <w:rPr>
          <w:sz w:val="24"/>
        </w:rPr>
      </w:pPr>
      <w:r>
        <w:rPr>
          <w:rFonts w:hint="eastAsia"/>
          <w:sz w:val="24"/>
        </w:rPr>
        <w:t>1 城市重点地下空间建设区：城市重大战略空间核心区，城市主副中心、门户枢纽和重点发展板块核心，具有较好地下空间互连互通条件，拥有两条及以上轨道交通支撑，或拥有两个及以上轨道交通站点支撑。</w:t>
      </w:r>
    </w:p>
    <w:p w14:paraId="2A5EA610">
      <w:pPr>
        <w:spacing w:line="360" w:lineRule="auto"/>
        <w:ind w:firstLine="480" w:firstLineChars="200"/>
        <w:rPr>
          <w:sz w:val="24"/>
        </w:rPr>
      </w:pPr>
      <w:r>
        <w:rPr>
          <w:rFonts w:hint="eastAsia"/>
          <w:sz w:val="24"/>
        </w:rPr>
        <w:t>包括观前地区、石路地区、南门地区；高铁新城、太湖新城、综合商务城及生态科技城核心区；工业园区湖西 CBD 区、高新区狮山路地区、吴中城区、相城中心商贸城；平江新城火车站周边地区。</w:t>
      </w:r>
    </w:p>
    <w:p w14:paraId="1D0BEE18">
      <w:pPr>
        <w:spacing w:line="360" w:lineRule="auto"/>
        <w:ind w:firstLine="480" w:firstLineChars="200"/>
        <w:rPr>
          <w:sz w:val="24"/>
        </w:rPr>
      </w:pPr>
      <w:r>
        <w:rPr>
          <w:rFonts w:hint="eastAsia"/>
          <w:sz w:val="24"/>
        </w:rPr>
        <w:t>2 片区重点地下空间建设区：片区级中心、重要的交通枢纽节点，有较强的地区影响力，拥有轨道交通站点支撑。</w:t>
      </w:r>
    </w:p>
    <w:p w14:paraId="24A91897">
      <w:pPr>
        <w:spacing w:line="360" w:lineRule="auto"/>
        <w:ind w:firstLine="480" w:firstLineChars="200"/>
        <w:rPr>
          <w:sz w:val="24"/>
        </w:rPr>
      </w:pPr>
      <w:r>
        <w:rPr>
          <w:rFonts w:hint="eastAsia"/>
          <w:sz w:val="24"/>
        </w:rPr>
        <w:t>包括越溪副中心、相城城区、太湖新城吴江核心、唯亭园区火车站周边、出口加工区核心、木渎中心区、浒通中心区、郭巷片区中心、横塘片区中心。</w:t>
      </w:r>
    </w:p>
    <w:p w14:paraId="756631BC">
      <w:pPr>
        <w:spacing w:line="360" w:lineRule="auto"/>
        <w:ind w:firstLine="480" w:firstLineChars="200"/>
        <w:rPr>
          <w:sz w:val="24"/>
        </w:rPr>
      </w:pPr>
      <w:r>
        <w:rPr>
          <w:rFonts w:hint="eastAsia"/>
          <w:sz w:val="24"/>
        </w:rPr>
        <w:t>3 主要节点地下空间建设区：主要包括轨道交通枢纽站、换乘站及片区组团中心站点周边附近。拥有轨道交通站点支撑。</w:t>
      </w:r>
    </w:p>
    <w:p w14:paraId="4F5E7B5F">
      <w:pPr>
        <w:spacing w:line="360" w:lineRule="auto"/>
        <w:rPr>
          <w:sz w:val="24"/>
        </w:rPr>
      </w:pPr>
      <w:r>
        <w:rPr>
          <w:rFonts w:hint="eastAsia"/>
          <w:sz w:val="24"/>
        </w:rPr>
        <w:t>3.1</w:t>
      </w:r>
      <w:r>
        <w:rPr>
          <w:sz w:val="24"/>
        </w:rPr>
        <w:t xml:space="preserve">.3 </w:t>
      </w:r>
      <w:r>
        <w:rPr>
          <w:rFonts w:hint="eastAsia"/>
          <w:sz w:val="24"/>
        </w:rPr>
        <w:t>重点区域根据主导功能可分为功能混合类、交通枢纽类、商业中心类、商务中心类、特色类等功能类型，地下公共连通空间建设应根据重点区域的功能类型，实现对地下空间的多元化引导。</w:t>
      </w:r>
    </w:p>
    <w:p w14:paraId="2C5D7E7D">
      <w:pPr>
        <w:spacing w:line="360" w:lineRule="auto"/>
        <w:rPr>
          <w:color w:val="4874CB" w:themeColor="accent1"/>
          <w:sz w:val="24"/>
          <w14:textFill>
            <w14:solidFill>
              <w14:schemeClr w14:val="accent1"/>
            </w14:solidFill>
          </w14:textFill>
        </w:rPr>
      </w:pPr>
    </w:p>
    <w:p w14:paraId="1C9187B6">
      <w:pPr>
        <w:spacing w:line="360" w:lineRule="auto"/>
        <w:jc w:val="center"/>
        <w:outlineLvl w:val="1"/>
        <w:rPr>
          <w:rFonts w:ascii="黑体" w:hAnsi="黑体" w:eastAsia="黑体"/>
          <w:b/>
          <w:bCs/>
          <w:sz w:val="24"/>
        </w:rPr>
      </w:pPr>
      <w:bookmarkStart w:id="7" w:name="_Toc190693027"/>
      <w:r>
        <w:rPr>
          <w:rFonts w:hint="eastAsia" w:ascii="黑体" w:hAnsi="黑体" w:eastAsia="黑体"/>
          <w:b/>
          <w:bCs/>
          <w:sz w:val="24"/>
        </w:rPr>
        <w:t>3.2 地下空间连通规划要求</w:t>
      </w:r>
      <w:bookmarkEnd w:id="7"/>
    </w:p>
    <w:p w14:paraId="57B87722"/>
    <w:p w14:paraId="4670F7A5">
      <w:pPr>
        <w:spacing w:line="360" w:lineRule="auto"/>
        <w:rPr>
          <w:sz w:val="24"/>
        </w:rPr>
      </w:pPr>
      <w:r>
        <w:rPr>
          <w:rFonts w:hint="eastAsia"/>
          <w:sz w:val="24"/>
        </w:rPr>
        <w:t>3.2</w:t>
      </w:r>
      <w:r>
        <w:rPr>
          <w:sz w:val="24"/>
        </w:rPr>
        <w:t xml:space="preserve">.1 </w:t>
      </w:r>
      <w:r>
        <w:rPr>
          <w:rFonts w:hint="eastAsia"/>
          <w:sz w:val="24"/>
        </w:rPr>
        <w:t>重点区域地下空间应当优先布局城市交通设施、市政公用设施、防灾设施和人民防安工程等，适度布局公共管理与公共服务设施、商业服务业设施和物流仓储设施等，不应布局居住、养老、学校（教学区）和劳动密集型工业设施等。</w:t>
      </w:r>
    </w:p>
    <w:p w14:paraId="5BD94A3C">
      <w:pPr>
        <w:spacing w:line="360" w:lineRule="auto"/>
        <w:rPr>
          <w:sz w:val="24"/>
        </w:rPr>
      </w:pPr>
      <w:r>
        <w:rPr>
          <w:rFonts w:hint="eastAsia"/>
          <w:sz w:val="24"/>
        </w:rPr>
        <w:t>3.2</w:t>
      </w:r>
      <w:r>
        <w:rPr>
          <w:sz w:val="24"/>
        </w:rPr>
        <w:t xml:space="preserve">.2 </w:t>
      </w:r>
      <w:r>
        <w:rPr>
          <w:rFonts w:hint="eastAsia"/>
          <w:sz w:val="24"/>
        </w:rPr>
        <w:t>在城市轨道交通线网规划、轨道交通选线专项规划和城市地下空间专项规划等规划中，应体现轨道交通地下车站与周边地下空间的联通规划总体要求。</w:t>
      </w:r>
    </w:p>
    <w:p w14:paraId="49B49344">
      <w:pPr>
        <w:spacing w:line="360" w:lineRule="auto"/>
        <w:rPr>
          <w:sz w:val="24"/>
        </w:rPr>
      </w:pPr>
      <w:r>
        <w:rPr>
          <w:rFonts w:hint="eastAsia"/>
          <w:sz w:val="24"/>
        </w:rPr>
        <w:t>3.2</w:t>
      </w:r>
      <w:r>
        <w:rPr>
          <w:sz w:val="24"/>
        </w:rPr>
        <w:t xml:space="preserve">.3 </w:t>
      </w:r>
      <w:r>
        <w:rPr>
          <w:rFonts w:hint="eastAsia"/>
          <w:sz w:val="24"/>
        </w:rPr>
        <w:t>在地区控制性详细规划中，应明确地下空间联通规划控制具体要求，包括强制性和引导性两类。强制性要求包括但不限于地下连通主体空间和接口的位置、数量、主要尺寸、竖向深度区间等；引导性要求包括但不限于环境、景观、风貌、古城保护、人性化设计、视觉效果等要求。</w:t>
      </w:r>
    </w:p>
    <w:p w14:paraId="02E17878">
      <w:pPr>
        <w:spacing w:line="360" w:lineRule="auto"/>
        <w:rPr>
          <w:color w:val="4874CB" w:themeColor="accent1"/>
          <w14:textFill>
            <w14:solidFill>
              <w14:schemeClr w14:val="accent1"/>
            </w14:solidFill>
          </w14:textFill>
        </w:rPr>
      </w:pPr>
      <w:r>
        <w:rPr>
          <w:rFonts w:hint="eastAsia"/>
          <w:sz w:val="24"/>
        </w:rPr>
        <w:t>3.2</w:t>
      </w:r>
      <w:r>
        <w:rPr>
          <w:sz w:val="24"/>
        </w:rPr>
        <w:t xml:space="preserve">.4 </w:t>
      </w:r>
      <w:r>
        <w:rPr>
          <w:rFonts w:hint="eastAsia"/>
          <w:sz w:val="24"/>
        </w:rPr>
        <w:t>重点区域地下公共连通空间选址前应按照地下空间开发利用相关规定进行充分论证，确保选址的可行性，论证成果报有关部门审定后方可列入实施计划。</w:t>
      </w:r>
    </w:p>
    <w:bookmarkEnd w:id="6"/>
    <w:p w14:paraId="153286C5">
      <w:pPr>
        <w:spacing w:line="360" w:lineRule="auto"/>
        <w:rPr>
          <w:sz w:val="24"/>
        </w:rPr>
      </w:pPr>
      <w:r>
        <w:rPr>
          <w:rFonts w:hint="eastAsia"/>
          <w:sz w:val="24"/>
        </w:rPr>
        <w:t>3.2</w:t>
      </w:r>
      <w:r>
        <w:rPr>
          <w:sz w:val="24"/>
        </w:rPr>
        <w:t xml:space="preserve">.5 </w:t>
      </w:r>
      <w:r>
        <w:rPr>
          <w:rFonts w:hint="eastAsia"/>
          <w:sz w:val="24"/>
        </w:rPr>
        <w:t>重点区域地下公共连通空间的设计应与地下空间专项规划、轨道交通、 综合管廊、人民防空等系统设施专项规划、控制性详细规划等上位规划和前期规划衔接，落实规划中对本区域地下空间设计的要求。</w:t>
      </w:r>
    </w:p>
    <w:p w14:paraId="2AE44DFE">
      <w:pPr>
        <w:spacing w:line="360" w:lineRule="auto"/>
        <w:rPr>
          <w:sz w:val="24"/>
        </w:rPr>
      </w:pPr>
      <w:r>
        <w:rPr>
          <w:rFonts w:hint="eastAsia"/>
          <w:sz w:val="24"/>
        </w:rPr>
        <w:t>3.2</w:t>
      </w:r>
      <w:r>
        <w:rPr>
          <w:sz w:val="24"/>
        </w:rPr>
        <w:t xml:space="preserve">.6 </w:t>
      </w:r>
      <w:r>
        <w:rPr>
          <w:rFonts w:hint="eastAsia"/>
          <w:sz w:val="24"/>
        </w:rPr>
        <w:t>重点区域地下空间详细规划、 城市设计、地下空间开发（建设）方案中， 应进行地下公共连通空间系统研究和总体设计，编制内容应包含地下公共空间的规模论证、布局及互连互通方式以及必要的区域内外交通组织和地下空间出入口安排等体现竖向分层立体综合开发、横向相关空间连通、地下工程与地表建筑相协调的系统建设等要求。</w:t>
      </w:r>
    </w:p>
    <w:p w14:paraId="30259CDE">
      <w:pPr>
        <w:spacing w:line="360" w:lineRule="auto"/>
        <w:rPr>
          <w:sz w:val="24"/>
        </w:rPr>
      </w:pPr>
      <w:r>
        <w:rPr>
          <w:rFonts w:hint="eastAsia"/>
          <w:sz w:val="24"/>
        </w:rPr>
        <w:t>3.2</w:t>
      </w:r>
      <w:r>
        <w:rPr>
          <w:sz w:val="24"/>
        </w:rPr>
        <w:t xml:space="preserve">.7 </w:t>
      </w:r>
      <w:r>
        <w:rPr>
          <w:rFonts w:hint="eastAsia"/>
          <w:sz w:val="24"/>
        </w:rPr>
        <w:t>含地下公共连通空间的项目在建设的可行性研究阶段，应编制地下公共连通空间概念设计方案，具体应包含地下公共连通空间开发功能、规模、平面和竖向布局、互连互通节点设置，地下连通通道和地下连通空间的平面布置和纵横断面设计，地上地下交通流线组织等内容。</w:t>
      </w:r>
    </w:p>
    <w:p w14:paraId="656C27E0">
      <w:pPr>
        <w:spacing w:line="360" w:lineRule="auto"/>
        <w:rPr>
          <w:sz w:val="24"/>
        </w:rPr>
      </w:pPr>
      <w:r>
        <w:rPr>
          <w:rFonts w:hint="eastAsia"/>
          <w:sz w:val="24"/>
        </w:rPr>
        <w:t>3.2</w:t>
      </w:r>
      <w:r>
        <w:rPr>
          <w:sz w:val="24"/>
        </w:rPr>
        <w:t xml:space="preserve">.8 </w:t>
      </w:r>
      <w:r>
        <w:rPr>
          <w:rFonts w:hint="eastAsia"/>
          <w:sz w:val="24"/>
        </w:rPr>
        <w:t>地下遗址范围内、历史文化街区或历史地段内、历史建筑保护范围内的地下公共连通空间建设应满足相关保护要求和文物勘探的要求</w:t>
      </w:r>
    </w:p>
    <w:p w14:paraId="19BD3F77">
      <w:pPr>
        <w:widowControl/>
        <w:jc w:val="left"/>
        <w:rPr>
          <w:sz w:val="24"/>
        </w:rPr>
      </w:pPr>
      <w:r>
        <w:rPr>
          <w:sz w:val="24"/>
        </w:rPr>
        <w:br w:type="page"/>
      </w:r>
    </w:p>
    <w:p w14:paraId="6A1A1E00"/>
    <w:p w14:paraId="4BD33BF3">
      <w:pPr>
        <w:spacing w:line="360" w:lineRule="auto"/>
        <w:jc w:val="center"/>
        <w:outlineLvl w:val="0"/>
        <w:rPr>
          <w:rFonts w:ascii="黑体" w:hAnsi="黑体" w:eastAsia="黑体"/>
          <w:b/>
          <w:bCs/>
          <w:sz w:val="28"/>
          <w:szCs w:val="36"/>
        </w:rPr>
      </w:pPr>
      <w:bookmarkStart w:id="8" w:name="_Toc190693028"/>
      <w:r>
        <w:rPr>
          <w:rFonts w:hint="eastAsia" w:ascii="黑体" w:hAnsi="黑体" w:eastAsia="黑体"/>
          <w:b/>
          <w:bCs/>
          <w:sz w:val="28"/>
          <w:szCs w:val="36"/>
        </w:rPr>
        <w:t>4</w:t>
      </w:r>
      <w:r>
        <w:rPr>
          <w:rFonts w:ascii="黑体" w:hAnsi="黑体" w:eastAsia="黑体"/>
          <w:b/>
          <w:bCs/>
          <w:sz w:val="28"/>
          <w:szCs w:val="36"/>
        </w:rPr>
        <w:t xml:space="preserve"> </w:t>
      </w:r>
      <w:r>
        <w:rPr>
          <w:rFonts w:hint="eastAsia" w:ascii="黑体" w:hAnsi="黑体" w:eastAsia="黑体"/>
          <w:b/>
          <w:bCs/>
          <w:sz w:val="28"/>
          <w:szCs w:val="36"/>
        </w:rPr>
        <w:t>总体设计指引</w:t>
      </w:r>
      <w:bookmarkEnd w:id="8"/>
    </w:p>
    <w:p w14:paraId="306EE056"/>
    <w:p w14:paraId="47537268">
      <w:pPr>
        <w:spacing w:line="360" w:lineRule="auto"/>
        <w:jc w:val="center"/>
        <w:outlineLvl w:val="1"/>
        <w:rPr>
          <w:rFonts w:ascii="黑体" w:hAnsi="黑体" w:eastAsia="黑体"/>
          <w:b/>
          <w:bCs/>
          <w:sz w:val="24"/>
        </w:rPr>
      </w:pPr>
      <w:bookmarkStart w:id="9" w:name="_Toc190693029"/>
      <w:r>
        <w:rPr>
          <w:rFonts w:hint="eastAsia" w:ascii="黑体" w:hAnsi="黑体" w:eastAsia="黑体"/>
          <w:b/>
          <w:bCs/>
          <w:sz w:val="24"/>
        </w:rPr>
        <w:t>4.1 一般规定</w:t>
      </w:r>
      <w:bookmarkEnd w:id="9"/>
    </w:p>
    <w:p w14:paraId="5B24C75E"/>
    <w:p w14:paraId="00FD1BC7">
      <w:pPr>
        <w:spacing w:line="360" w:lineRule="auto"/>
        <w:rPr>
          <w:rFonts w:ascii="宋体" w:hAnsi="宋体" w:eastAsia="宋体" w:cs="宋体"/>
          <w:sz w:val="24"/>
        </w:rPr>
      </w:pPr>
      <w:r>
        <w:rPr>
          <w:rFonts w:hint="eastAsia" w:ascii="宋体" w:hAnsi="宋体" w:eastAsia="宋体" w:cs="宋体"/>
          <w:sz w:val="24"/>
        </w:rPr>
        <w:t>4.1.1 地下公共连通空间是城市地下交通的重要组成部分，起到连接地下空间和设施，形成地上地下一体化发展、区域连片开发的骨架作用，也是市民日常公共活动的重要场所。其基本设计原则包括以下内容：</w:t>
      </w:r>
    </w:p>
    <w:p w14:paraId="5C41F4D6">
      <w:pPr>
        <w:spacing w:line="360" w:lineRule="auto"/>
        <w:rPr>
          <w:rFonts w:ascii="宋体" w:hAnsi="宋体" w:eastAsia="宋体" w:cs="宋体"/>
          <w:sz w:val="24"/>
        </w:rPr>
      </w:pPr>
      <w:r>
        <w:rPr>
          <w:rFonts w:hint="eastAsia" w:ascii="宋体" w:hAnsi="宋体" w:eastAsia="宋体" w:cs="宋体"/>
          <w:sz w:val="24"/>
        </w:rPr>
        <w:t>1 便捷性：基本功能需求，为城市街区补充提供便捷、高效、安全的多种交通连接形式。</w:t>
      </w:r>
    </w:p>
    <w:p w14:paraId="0CEB43C1">
      <w:pPr>
        <w:spacing w:line="360" w:lineRule="auto"/>
        <w:rPr>
          <w:rFonts w:ascii="宋体" w:hAnsi="宋体" w:eastAsia="宋体" w:cs="宋体"/>
          <w:sz w:val="24"/>
        </w:rPr>
      </w:pPr>
      <w:r>
        <w:rPr>
          <w:rFonts w:hint="eastAsia" w:ascii="宋体" w:hAnsi="宋体" w:eastAsia="宋体" w:cs="宋体"/>
          <w:sz w:val="24"/>
        </w:rPr>
        <w:t>2 导向性：设计应当简单明了，方便人们理解和导航，通过标识、指示牌和地图等方式提供清晰的导向信息，避免迷路和不便。</w:t>
      </w:r>
    </w:p>
    <w:p w14:paraId="03332BBE">
      <w:pPr>
        <w:spacing w:line="360" w:lineRule="auto"/>
        <w:rPr>
          <w:rFonts w:ascii="宋体" w:hAnsi="宋体" w:eastAsia="宋体" w:cs="宋体"/>
          <w:sz w:val="24"/>
        </w:rPr>
      </w:pPr>
      <w:r>
        <w:rPr>
          <w:rFonts w:hint="eastAsia" w:ascii="宋体" w:hAnsi="宋体" w:eastAsia="宋体" w:cs="宋体"/>
          <w:sz w:val="24"/>
        </w:rPr>
        <w:t>3 舒适性：地下步行系统应在垂直交通、宽度、高度、坡度、无障碍、节点空间、空间环境、出入口设置及其与其他设施的连接等多面体现舒适性要求。</w:t>
      </w:r>
    </w:p>
    <w:p w14:paraId="23CA6F94">
      <w:pPr>
        <w:spacing w:line="360" w:lineRule="auto"/>
        <w:rPr>
          <w:rFonts w:ascii="宋体" w:hAnsi="宋体" w:eastAsia="宋体" w:cs="宋体"/>
          <w:sz w:val="24"/>
        </w:rPr>
      </w:pPr>
      <w:r>
        <w:rPr>
          <w:rFonts w:hint="eastAsia" w:ascii="宋体" w:hAnsi="宋体" w:eastAsia="宋体" w:cs="宋体"/>
          <w:sz w:val="24"/>
        </w:rPr>
        <w:t>4 人性化：地下公共空间应设置无障碍及便民服务设施，考虑老、弱、病、残、孕等特殊群体，增设母婴室、第三卫生间、儿童厕位、儿童洗手盆等设施。</w:t>
      </w:r>
    </w:p>
    <w:p w14:paraId="0F6F528B">
      <w:pPr>
        <w:spacing w:line="360" w:lineRule="auto"/>
        <w:rPr>
          <w:rFonts w:ascii="宋体" w:hAnsi="宋体" w:eastAsia="宋体" w:cs="宋体"/>
          <w:sz w:val="24"/>
        </w:rPr>
      </w:pPr>
      <w:r>
        <w:rPr>
          <w:rFonts w:hint="eastAsia" w:ascii="宋体" w:hAnsi="宋体" w:eastAsia="宋体" w:cs="宋体"/>
          <w:sz w:val="24"/>
        </w:rPr>
        <w:t>5 文化性：建议地下公共空间设计结合地域文化特色，与城市历史文明、与城市公共文化、与城市发展精神和周边地理环境相融合，提升环境品质的文化性与艺术性。</w:t>
      </w:r>
    </w:p>
    <w:p w14:paraId="5C15AB27">
      <w:pPr>
        <w:spacing w:line="360" w:lineRule="auto"/>
        <w:rPr>
          <w:rFonts w:ascii="宋体" w:hAnsi="宋体" w:eastAsia="宋体" w:cs="宋体"/>
          <w:sz w:val="24"/>
        </w:rPr>
      </w:pPr>
      <w:r>
        <w:rPr>
          <w:rFonts w:hint="eastAsia" w:ascii="宋体" w:hAnsi="宋体" w:eastAsia="宋体" w:cs="宋体"/>
          <w:sz w:val="24"/>
        </w:rPr>
        <w:t>6 经济性：在设计中应考虑节能环保，采用可持续的建筑材料和技术，减少能源消耗和环境影响的同时，合理控制建设成本和维护费用。</w:t>
      </w:r>
    </w:p>
    <w:p w14:paraId="79DBDAAE">
      <w:pPr>
        <w:spacing w:line="360" w:lineRule="auto"/>
        <w:rPr>
          <w:rFonts w:ascii="宋体" w:hAnsi="宋体" w:eastAsia="宋体" w:cs="宋体"/>
          <w:sz w:val="24"/>
        </w:rPr>
      </w:pPr>
      <w:r>
        <w:rPr>
          <w:rFonts w:hint="eastAsia" w:ascii="宋体" w:hAnsi="宋体" w:eastAsia="宋体" w:cs="宋体"/>
          <w:sz w:val="24"/>
        </w:rPr>
        <w:t>7 商业性：在有条件的场所合理设置商店和服务设施，提升站域的商业氛围和经济活力。</w:t>
      </w:r>
    </w:p>
    <w:p w14:paraId="6B476480">
      <w:pPr>
        <w:spacing w:line="360" w:lineRule="auto"/>
        <w:rPr>
          <w:rFonts w:ascii="宋体" w:hAnsi="宋体" w:eastAsia="宋体" w:cs="宋体"/>
          <w:sz w:val="24"/>
        </w:rPr>
      </w:pPr>
      <w:r>
        <w:rPr>
          <w:rFonts w:hint="eastAsia" w:ascii="宋体" w:hAnsi="宋体" w:eastAsia="宋体" w:cs="宋体"/>
          <w:sz w:val="24"/>
        </w:rPr>
        <w:t>4.1.2 地下连通空间的功能类型应根据区域具体的需求和环境条件进行选择，一般包括下列功能类型：</w:t>
      </w:r>
    </w:p>
    <w:p w14:paraId="03E56B0D">
      <w:pPr>
        <w:spacing w:line="360" w:lineRule="auto"/>
        <w:rPr>
          <w:rFonts w:ascii="宋体" w:hAnsi="宋体" w:eastAsia="宋体" w:cs="宋体"/>
          <w:sz w:val="24"/>
        </w:rPr>
      </w:pPr>
      <w:r>
        <w:rPr>
          <w:rFonts w:hint="eastAsia" w:ascii="宋体" w:hAnsi="宋体" w:eastAsia="宋体" w:cs="宋体"/>
          <w:sz w:val="24"/>
        </w:rPr>
        <w:t>1 交通型：如地铁站、交通换乘枢纽、市政通道；</w:t>
      </w:r>
    </w:p>
    <w:p w14:paraId="4EF67242">
      <w:pPr>
        <w:spacing w:line="360" w:lineRule="auto"/>
        <w:rPr>
          <w:rFonts w:ascii="宋体" w:hAnsi="宋体" w:eastAsia="宋体" w:cs="宋体"/>
          <w:sz w:val="24"/>
        </w:rPr>
      </w:pPr>
      <w:r>
        <w:rPr>
          <w:rFonts w:hint="eastAsia" w:ascii="宋体" w:hAnsi="宋体" w:eastAsia="宋体" w:cs="宋体"/>
          <w:sz w:val="24"/>
        </w:rPr>
        <w:t>2 商业型：如地下商场、地下商业街、广告展陈空间；</w:t>
      </w:r>
    </w:p>
    <w:p w14:paraId="7858FBC9">
      <w:pPr>
        <w:spacing w:line="360" w:lineRule="auto"/>
        <w:rPr>
          <w:rFonts w:ascii="宋体" w:hAnsi="宋体" w:eastAsia="宋体" w:cs="宋体"/>
          <w:sz w:val="24"/>
        </w:rPr>
      </w:pPr>
      <w:r>
        <w:rPr>
          <w:rFonts w:hint="eastAsia" w:ascii="宋体" w:hAnsi="宋体" w:eastAsia="宋体" w:cs="宋体"/>
          <w:sz w:val="24"/>
        </w:rPr>
        <w:t>3 服务型：如地下办公、便民服务站、应急医疗点；</w:t>
      </w:r>
    </w:p>
    <w:p w14:paraId="275956A0">
      <w:pPr>
        <w:spacing w:line="360" w:lineRule="auto"/>
        <w:rPr>
          <w:rFonts w:ascii="宋体" w:hAnsi="宋体" w:eastAsia="宋体" w:cs="宋体"/>
          <w:sz w:val="24"/>
        </w:rPr>
      </w:pPr>
      <w:r>
        <w:rPr>
          <w:rFonts w:hint="eastAsia" w:ascii="宋体" w:hAnsi="宋体" w:eastAsia="宋体" w:cs="宋体"/>
          <w:sz w:val="24"/>
        </w:rPr>
        <w:t>4 特色型：如下沉式公园、艺术文化空间、体育活动空间。</w:t>
      </w:r>
    </w:p>
    <w:p w14:paraId="1E561F49">
      <w:pPr>
        <w:spacing w:line="360" w:lineRule="auto"/>
        <w:rPr>
          <w:rFonts w:ascii="宋体" w:hAnsi="宋体" w:eastAsia="宋体" w:cs="宋体"/>
          <w:sz w:val="24"/>
        </w:rPr>
      </w:pPr>
      <w:r>
        <w:rPr>
          <w:rFonts w:hint="eastAsia" w:ascii="宋体" w:hAnsi="宋体" w:eastAsia="宋体" w:cs="宋体"/>
          <w:sz w:val="24"/>
        </w:rPr>
        <w:t>5 混合型：上述多种功能类型的组合形式。</w:t>
      </w:r>
    </w:p>
    <w:p w14:paraId="6E2675EC">
      <w:pPr>
        <w:spacing w:line="360" w:lineRule="auto"/>
        <w:rPr>
          <w:rFonts w:ascii="宋体" w:hAnsi="宋体" w:eastAsia="宋体" w:cs="宋体"/>
          <w:sz w:val="24"/>
        </w:rPr>
      </w:pPr>
      <w:r>
        <w:rPr>
          <w:rFonts w:hint="eastAsia" w:ascii="宋体" w:hAnsi="宋体" w:eastAsia="宋体" w:cs="宋体"/>
          <w:sz w:val="24"/>
        </w:rPr>
        <w:t>4.1.3 空间布局：合理规划地下空间的布局，优化空间利用，确保各功能区的有序布置。</w:t>
      </w:r>
    </w:p>
    <w:p w14:paraId="176A36B9">
      <w:pPr>
        <w:spacing w:line="360" w:lineRule="auto"/>
        <w:rPr>
          <w:rFonts w:ascii="宋体" w:hAnsi="宋体" w:eastAsia="宋体" w:cs="宋体"/>
          <w:sz w:val="24"/>
        </w:rPr>
      </w:pPr>
      <w:r>
        <w:rPr>
          <w:rFonts w:hint="eastAsia" w:ascii="宋体" w:hAnsi="宋体" w:eastAsia="宋体" w:cs="宋体"/>
          <w:sz w:val="24"/>
        </w:rPr>
        <w:t>4.1.4 尺度打造：地下空间的尺度打造应关注空间感受和人体舒适度，合理设置空间尺寸，营造宜人的地下环境。考虑人的活动需求和心理感受，结合功能特点，创造舒适、宽敞、自然的地下空间尺度。同时，结合地下空间的特殊环境，合理利用照明、色彩和材质等手段，增强空间的层次感和舒适度。</w:t>
      </w:r>
    </w:p>
    <w:p w14:paraId="6267160D">
      <w:pPr>
        <w:spacing w:line="360" w:lineRule="auto"/>
        <w:rPr>
          <w:rFonts w:ascii="宋体" w:hAnsi="宋体" w:eastAsia="宋体" w:cs="宋体"/>
          <w:sz w:val="24"/>
        </w:rPr>
      </w:pPr>
      <w:r>
        <w:rPr>
          <w:rFonts w:hint="eastAsia" w:ascii="宋体" w:hAnsi="宋体" w:eastAsia="宋体" w:cs="宋体"/>
          <w:sz w:val="24"/>
        </w:rPr>
        <w:t>4.1.5 动线组织：地下空间的动线组织应以人的流动需求为核心，设置清晰导向标识，并充分考虑无障碍通行和未来发展需求。关键节点设计需优化，并可借助智能化管理手段提升通行效率和安全性。</w:t>
      </w:r>
    </w:p>
    <w:p w14:paraId="7CA43024">
      <w:pPr>
        <w:spacing w:line="360" w:lineRule="auto"/>
        <w:rPr>
          <w:rFonts w:ascii="宋体" w:hAnsi="宋体" w:eastAsia="宋体" w:cs="宋体"/>
          <w:sz w:val="24"/>
        </w:rPr>
      </w:pPr>
      <w:r>
        <w:rPr>
          <w:rFonts w:hint="eastAsia" w:ascii="宋体" w:hAnsi="宋体" w:eastAsia="宋体" w:cs="宋体"/>
          <w:sz w:val="24"/>
        </w:rPr>
        <w:t>4.1.6 通风与采光：注重利用自然通风与采光，加强地下空间的绿化设计，改善空气质量，减少对机械设备的依赖，降低能耗，提供舒适的地下环境。对于无法利用自然通风与采光的区域，应采用高效的人工环境系统。</w:t>
      </w:r>
    </w:p>
    <w:p w14:paraId="30853734">
      <w:pPr>
        <w:spacing w:line="360" w:lineRule="auto"/>
        <w:rPr>
          <w:rFonts w:ascii="宋体" w:hAnsi="宋体" w:eastAsia="宋体" w:cs="宋体"/>
          <w:sz w:val="24"/>
        </w:rPr>
      </w:pPr>
      <w:r>
        <w:rPr>
          <w:rFonts w:hint="eastAsia" w:ascii="宋体" w:hAnsi="宋体" w:eastAsia="宋体" w:cs="宋体"/>
          <w:sz w:val="24"/>
        </w:rPr>
        <w:t>4.1.7 公共安全与防灾：为确保地下空间的安全性，必须对可能发生的火灾、水灾、地震等自然灾害以及恐怖袭击等人为灾害进行充分评估，并采取相应的预防措施和疏散救援设计。</w:t>
      </w:r>
    </w:p>
    <w:p w14:paraId="5A52E114">
      <w:pPr>
        <w:spacing w:line="360" w:lineRule="auto"/>
        <w:rPr>
          <w:rFonts w:ascii="宋体" w:hAnsi="宋体" w:eastAsia="宋体" w:cs="宋体"/>
          <w:sz w:val="24"/>
        </w:rPr>
      </w:pPr>
      <w:r>
        <w:rPr>
          <w:rFonts w:hint="eastAsia" w:ascii="宋体" w:hAnsi="宋体" w:eastAsia="宋体" w:cs="宋体"/>
          <w:sz w:val="24"/>
        </w:rPr>
        <w:t>4.1.8 环保节能：地下空间的环保节能设计应关注资源的节约和环境的保护。通过合理利用自然资源和能源，减少对环境的负面影响。包括采用节能的建筑设计、高效的空调系统、环保的建筑材料等。</w:t>
      </w:r>
    </w:p>
    <w:p w14:paraId="15585ADB">
      <w:pPr>
        <w:spacing w:line="360" w:lineRule="auto"/>
        <w:rPr>
          <w:rFonts w:ascii="宋体" w:hAnsi="宋体" w:eastAsia="宋体" w:cs="宋体"/>
          <w:sz w:val="24"/>
        </w:rPr>
      </w:pPr>
      <w:r>
        <w:rPr>
          <w:rFonts w:hint="eastAsia" w:ascii="宋体" w:hAnsi="宋体" w:eastAsia="宋体" w:cs="宋体"/>
          <w:sz w:val="24"/>
        </w:rPr>
        <w:t>4.1.9 文化艺术植入：文化艺术植入是地下空间设计的重要组成部分，能够提升地下空间的品质和吸引力。通过将当地文化、历史或艺术元素融入地下空间的设计中，打造富有文化氛围的地下场所。同时，可以结合科技手段，如虚拟现实、增强现实等，进一步提升地下空间的艺术体验。</w:t>
      </w:r>
    </w:p>
    <w:p w14:paraId="7ECD4FED">
      <w:pPr>
        <w:spacing w:line="360" w:lineRule="auto"/>
        <w:rPr>
          <w:rFonts w:ascii="宋体" w:hAnsi="宋体" w:eastAsia="宋体" w:cs="宋体"/>
          <w:sz w:val="24"/>
        </w:rPr>
      </w:pPr>
      <w:r>
        <w:rPr>
          <w:rFonts w:hint="eastAsia" w:ascii="宋体" w:hAnsi="宋体" w:eastAsia="宋体" w:cs="宋体"/>
          <w:sz w:val="24"/>
        </w:rPr>
        <w:t>4.1.10 运营与管理：地下空间的规划与设计要结合不同的使用功能类型，充分考虑后期运营和管理的实际需求，以提升空间的高效利用和经济性，确保空间的有效维护和长期稳定运营。</w:t>
      </w:r>
    </w:p>
    <w:p w14:paraId="57B99395"/>
    <w:p w14:paraId="11759AC7">
      <w:pPr>
        <w:spacing w:line="360" w:lineRule="auto"/>
        <w:jc w:val="center"/>
        <w:outlineLvl w:val="1"/>
        <w:rPr>
          <w:rFonts w:ascii="黑体" w:hAnsi="黑体" w:eastAsia="黑体"/>
          <w:b/>
          <w:bCs/>
          <w:sz w:val="24"/>
        </w:rPr>
      </w:pPr>
      <w:bookmarkStart w:id="10" w:name="_Toc190693030"/>
      <w:r>
        <w:rPr>
          <w:rFonts w:hint="eastAsia" w:ascii="黑体" w:hAnsi="黑体" w:eastAsia="黑体"/>
          <w:b/>
          <w:bCs/>
          <w:sz w:val="24"/>
        </w:rPr>
        <w:t>4.2 地下连通需求</w:t>
      </w:r>
      <w:bookmarkEnd w:id="10"/>
    </w:p>
    <w:p w14:paraId="428E4BF9"/>
    <w:p w14:paraId="1ADC32C9">
      <w:pPr>
        <w:spacing w:line="360" w:lineRule="auto"/>
        <w:rPr>
          <w:rFonts w:asciiTheme="minorEastAsia" w:hAnsiTheme="minorEastAsia"/>
          <w:sz w:val="24"/>
        </w:rPr>
      </w:pPr>
      <w:r>
        <w:rPr>
          <w:rFonts w:hint="eastAsia" w:asciiTheme="minorEastAsia" w:hAnsiTheme="minorEastAsia"/>
          <w:sz w:val="24"/>
        </w:rPr>
        <w:t>4</w:t>
      </w:r>
      <w:r>
        <w:rPr>
          <w:rFonts w:asciiTheme="minorEastAsia" w:hAnsiTheme="minorEastAsia"/>
          <w:sz w:val="24"/>
        </w:rPr>
        <w:t xml:space="preserve">.2.1 </w:t>
      </w:r>
      <w:r>
        <w:rPr>
          <w:rFonts w:hint="eastAsia" w:asciiTheme="minorEastAsia" w:hAnsiTheme="minorEastAsia"/>
          <w:sz w:val="24"/>
        </w:rPr>
        <w:t>地下空间应根据所在区位、开发强度、用地性质、建筑功能、人流密集程度、连通方式优先度等评价因子综合确定连通需求。</w:t>
      </w:r>
    </w:p>
    <w:p w14:paraId="48F4118A">
      <w:pPr>
        <w:spacing w:line="360" w:lineRule="auto"/>
        <w:rPr>
          <w:rFonts w:asciiTheme="minorEastAsia" w:hAnsiTheme="minorEastAsia"/>
          <w:sz w:val="24"/>
        </w:rPr>
      </w:pPr>
      <w:r>
        <w:rPr>
          <w:rFonts w:hint="eastAsia" w:asciiTheme="minorEastAsia" w:hAnsiTheme="minorEastAsia"/>
          <w:sz w:val="24"/>
        </w:rPr>
        <w:t>4</w:t>
      </w:r>
      <w:r>
        <w:rPr>
          <w:rFonts w:asciiTheme="minorEastAsia" w:hAnsiTheme="minorEastAsia"/>
          <w:sz w:val="24"/>
        </w:rPr>
        <w:t xml:space="preserve">.2.2 </w:t>
      </w:r>
      <w:r>
        <w:rPr>
          <w:rFonts w:hint="eastAsia" w:asciiTheme="minorEastAsia" w:hAnsiTheme="minorEastAsia"/>
          <w:sz w:val="24"/>
        </w:rPr>
        <w:t>轨道交通站点周边地下连通设置需求可参照表</w:t>
      </w:r>
      <w:r>
        <w:rPr>
          <w:rFonts w:asciiTheme="minorEastAsia" w:hAnsiTheme="minorEastAsia"/>
          <w:sz w:val="24"/>
        </w:rPr>
        <w:t>4.2.2</w:t>
      </w:r>
      <w:r>
        <w:rPr>
          <w:rFonts w:hint="eastAsia" w:asciiTheme="minorEastAsia" w:hAnsiTheme="minorEastAsia"/>
          <w:sz w:val="24"/>
        </w:rPr>
        <w:t>进行判断。</w:t>
      </w:r>
    </w:p>
    <w:p w14:paraId="0BFE1CB0">
      <w:pPr>
        <w:spacing w:line="360" w:lineRule="auto"/>
        <w:jc w:val="center"/>
        <w:rPr>
          <w:rFonts w:asciiTheme="minorEastAsia" w:hAnsiTheme="minorEastAsia"/>
          <w:sz w:val="24"/>
        </w:rPr>
      </w:pPr>
      <w:r>
        <w:rPr>
          <w:rFonts w:hint="eastAsia" w:asciiTheme="minorEastAsia" w:hAnsiTheme="minorEastAsia"/>
          <w:sz w:val="24"/>
        </w:rPr>
        <w:t>表4</w:t>
      </w:r>
      <w:r>
        <w:rPr>
          <w:rFonts w:asciiTheme="minorEastAsia" w:hAnsiTheme="minorEastAsia"/>
          <w:sz w:val="24"/>
        </w:rPr>
        <w:t xml:space="preserve">.2.2 </w:t>
      </w:r>
      <w:r>
        <w:rPr>
          <w:rFonts w:hint="eastAsia" w:asciiTheme="minorEastAsia" w:hAnsiTheme="minorEastAsia"/>
          <w:sz w:val="24"/>
        </w:rPr>
        <w:t>重点区域轨道交通站点周边地下连通设置需求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6"/>
        <w:gridCol w:w="1038"/>
        <w:gridCol w:w="1038"/>
        <w:gridCol w:w="1038"/>
        <w:gridCol w:w="1038"/>
        <w:gridCol w:w="1039"/>
        <w:gridCol w:w="1039"/>
      </w:tblGrid>
      <w:tr w14:paraId="2F96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vMerge w:val="restart"/>
          </w:tcPr>
          <w:p w14:paraId="596141F1">
            <w:pPr>
              <w:spacing w:line="360" w:lineRule="auto"/>
              <w:jc w:val="center"/>
              <w:rPr>
                <w:rFonts w:asciiTheme="minorEastAsia" w:hAnsiTheme="minorEastAsia"/>
                <w:szCs w:val="21"/>
              </w:rPr>
            </w:pPr>
          </w:p>
          <w:p w14:paraId="760AE57B">
            <w:pPr>
              <w:spacing w:line="360" w:lineRule="auto"/>
              <w:jc w:val="center"/>
              <w:rPr>
                <w:rFonts w:asciiTheme="minorEastAsia" w:hAnsiTheme="minorEastAsia"/>
                <w:szCs w:val="21"/>
              </w:rPr>
            </w:pPr>
          </w:p>
          <w:p w14:paraId="253A7F65">
            <w:pPr>
              <w:spacing w:line="360" w:lineRule="auto"/>
              <w:jc w:val="center"/>
              <w:rPr>
                <w:rFonts w:asciiTheme="minorEastAsia" w:hAnsiTheme="minorEastAsia"/>
                <w:szCs w:val="21"/>
              </w:rPr>
            </w:pPr>
            <w:r>
              <w:rPr>
                <w:rFonts w:hint="eastAsia" w:asciiTheme="minorEastAsia" w:hAnsiTheme="minorEastAsia"/>
                <w:szCs w:val="21"/>
              </w:rPr>
              <w:t>周边地下空间类型</w:t>
            </w:r>
          </w:p>
        </w:tc>
        <w:tc>
          <w:tcPr>
            <w:tcW w:w="6230" w:type="dxa"/>
            <w:gridSpan w:val="6"/>
          </w:tcPr>
          <w:p w14:paraId="451D6651">
            <w:pPr>
              <w:spacing w:line="360" w:lineRule="auto"/>
              <w:jc w:val="center"/>
              <w:rPr>
                <w:rFonts w:asciiTheme="minorEastAsia" w:hAnsiTheme="minorEastAsia"/>
                <w:szCs w:val="21"/>
              </w:rPr>
            </w:pPr>
            <w:r>
              <w:rPr>
                <w:rFonts w:hint="eastAsia" w:asciiTheme="minorEastAsia" w:hAnsiTheme="minorEastAsia"/>
                <w:szCs w:val="21"/>
              </w:rPr>
              <w:t>轨道站点周边区位</w:t>
            </w:r>
          </w:p>
        </w:tc>
      </w:tr>
      <w:tr w14:paraId="24C2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vMerge w:val="continue"/>
          </w:tcPr>
          <w:p w14:paraId="79A6F864">
            <w:pPr>
              <w:spacing w:line="360" w:lineRule="auto"/>
              <w:jc w:val="center"/>
              <w:rPr>
                <w:rFonts w:asciiTheme="minorEastAsia" w:hAnsiTheme="minorEastAsia"/>
                <w:szCs w:val="21"/>
              </w:rPr>
            </w:pPr>
          </w:p>
        </w:tc>
        <w:tc>
          <w:tcPr>
            <w:tcW w:w="2076" w:type="dxa"/>
            <w:gridSpan w:val="2"/>
          </w:tcPr>
          <w:p w14:paraId="10354FF8">
            <w:pPr>
              <w:spacing w:line="360" w:lineRule="auto"/>
              <w:jc w:val="center"/>
              <w:rPr>
                <w:rFonts w:asciiTheme="minorEastAsia" w:hAnsiTheme="minorEastAsia"/>
                <w:szCs w:val="21"/>
              </w:rPr>
            </w:pPr>
            <w:r>
              <w:rPr>
                <w:rFonts w:hint="eastAsia" w:asciiTheme="minorEastAsia" w:hAnsiTheme="minorEastAsia"/>
                <w:szCs w:val="21"/>
              </w:rPr>
              <w:t>城市重点地下空间</w:t>
            </w:r>
          </w:p>
          <w:p w14:paraId="6C4AE946">
            <w:pPr>
              <w:spacing w:line="360" w:lineRule="auto"/>
              <w:jc w:val="center"/>
              <w:rPr>
                <w:rFonts w:asciiTheme="minorEastAsia" w:hAnsiTheme="minorEastAsia"/>
                <w:szCs w:val="21"/>
              </w:rPr>
            </w:pPr>
            <w:r>
              <w:rPr>
                <w:rFonts w:hint="eastAsia" w:asciiTheme="minorEastAsia" w:hAnsiTheme="minorEastAsia"/>
                <w:szCs w:val="21"/>
              </w:rPr>
              <w:t>建设区</w:t>
            </w:r>
          </w:p>
        </w:tc>
        <w:tc>
          <w:tcPr>
            <w:tcW w:w="2076" w:type="dxa"/>
            <w:gridSpan w:val="2"/>
          </w:tcPr>
          <w:p w14:paraId="572D053B">
            <w:pPr>
              <w:spacing w:line="360" w:lineRule="auto"/>
              <w:jc w:val="center"/>
              <w:rPr>
                <w:rFonts w:asciiTheme="minorEastAsia" w:hAnsiTheme="minorEastAsia"/>
                <w:szCs w:val="21"/>
              </w:rPr>
            </w:pPr>
            <w:r>
              <w:rPr>
                <w:rFonts w:hint="eastAsia" w:asciiTheme="minorEastAsia" w:hAnsiTheme="minorEastAsia"/>
                <w:szCs w:val="21"/>
              </w:rPr>
              <w:t>片区重点地下空间</w:t>
            </w:r>
          </w:p>
          <w:p w14:paraId="4BA8FB30">
            <w:pPr>
              <w:spacing w:line="360" w:lineRule="auto"/>
              <w:jc w:val="center"/>
              <w:rPr>
                <w:rFonts w:asciiTheme="minorEastAsia" w:hAnsiTheme="minorEastAsia"/>
                <w:szCs w:val="21"/>
              </w:rPr>
            </w:pPr>
            <w:r>
              <w:rPr>
                <w:rFonts w:hint="eastAsia" w:asciiTheme="minorEastAsia" w:hAnsiTheme="minorEastAsia"/>
                <w:szCs w:val="21"/>
              </w:rPr>
              <w:t>建设区</w:t>
            </w:r>
          </w:p>
        </w:tc>
        <w:tc>
          <w:tcPr>
            <w:tcW w:w="2078" w:type="dxa"/>
            <w:gridSpan w:val="2"/>
          </w:tcPr>
          <w:p w14:paraId="598B9AAD">
            <w:pPr>
              <w:spacing w:line="360" w:lineRule="auto"/>
              <w:jc w:val="center"/>
              <w:rPr>
                <w:rFonts w:asciiTheme="minorEastAsia" w:hAnsiTheme="minorEastAsia"/>
                <w:szCs w:val="21"/>
              </w:rPr>
            </w:pPr>
            <w:r>
              <w:rPr>
                <w:rFonts w:hint="eastAsia" w:asciiTheme="minorEastAsia" w:hAnsiTheme="minorEastAsia"/>
                <w:szCs w:val="21"/>
              </w:rPr>
              <w:t>主要节点地下空间</w:t>
            </w:r>
          </w:p>
          <w:p w14:paraId="6D2D7CE7">
            <w:pPr>
              <w:spacing w:line="360" w:lineRule="auto"/>
              <w:jc w:val="center"/>
              <w:rPr>
                <w:rFonts w:asciiTheme="minorEastAsia" w:hAnsiTheme="minorEastAsia"/>
                <w:szCs w:val="21"/>
              </w:rPr>
            </w:pPr>
            <w:r>
              <w:rPr>
                <w:rFonts w:hint="eastAsia" w:asciiTheme="minorEastAsia" w:hAnsiTheme="minorEastAsia"/>
                <w:szCs w:val="21"/>
              </w:rPr>
              <w:t>建设区</w:t>
            </w:r>
          </w:p>
        </w:tc>
      </w:tr>
      <w:tr w14:paraId="221B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vMerge w:val="continue"/>
          </w:tcPr>
          <w:p w14:paraId="22FF188F">
            <w:pPr>
              <w:spacing w:line="360" w:lineRule="auto"/>
              <w:jc w:val="center"/>
              <w:rPr>
                <w:rFonts w:asciiTheme="minorEastAsia" w:hAnsiTheme="minorEastAsia"/>
                <w:szCs w:val="21"/>
              </w:rPr>
            </w:pPr>
          </w:p>
        </w:tc>
        <w:tc>
          <w:tcPr>
            <w:tcW w:w="1038" w:type="dxa"/>
          </w:tcPr>
          <w:p w14:paraId="59D7CAF7">
            <w:pPr>
              <w:spacing w:line="360" w:lineRule="auto"/>
              <w:jc w:val="center"/>
              <w:rPr>
                <w:rFonts w:asciiTheme="minorEastAsia" w:hAnsiTheme="minorEastAsia"/>
                <w:szCs w:val="21"/>
              </w:rPr>
            </w:pPr>
            <w:r>
              <w:rPr>
                <w:rFonts w:hint="eastAsia" w:asciiTheme="minorEastAsia" w:hAnsiTheme="minorEastAsia"/>
                <w:szCs w:val="21"/>
              </w:rPr>
              <w:t>核心</w:t>
            </w:r>
          </w:p>
          <w:p w14:paraId="179DDE8F">
            <w:pPr>
              <w:spacing w:line="360" w:lineRule="auto"/>
              <w:jc w:val="center"/>
              <w:rPr>
                <w:rFonts w:asciiTheme="minorEastAsia" w:hAnsiTheme="minorEastAsia"/>
                <w:szCs w:val="21"/>
              </w:rPr>
            </w:pPr>
            <w:r>
              <w:rPr>
                <w:rFonts w:hint="eastAsia" w:asciiTheme="minorEastAsia" w:hAnsiTheme="minorEastAsia"/>
                <w:szCs w:val="21"/>
              </w:rPr>
              <w:t>开发区</w:t>
            </w:r>
          </w:p>
        </w:tc>
        <w:tc>
          <w:tcPr>
            <w:tcW w:w="1038" w:type="dxa"/>
          </w:tcPr>
          <w:p w14:paraId="106F7B8C">
            <w:pPr>
              <w:spacing w:line="360" w:lineRule="auto"/>
              <w:jc w:val="center"/>
              <w:rPr>
                <w:rFonts w:asciiTheme="minorEastAsia" w:hAnsiTheme="minorEastAsia"/>
                <w:szCs w:val="21"/>
              </w:rPr>
            </w:pPr>
            <w:r>
              <w:rPr>
                <w:rFonts w:hint="eastAsia" w:asciiTheme="minorEastAsia" w:hAnsiTheme="minorEastAsia"/>
                <w:szCs w:val="21"/>
              </w:rPr>
              <w:t>规划</w:t>
            </w:r>
          </w:p>
          <w:p w14:paraId="74F9E058">
            <w:pPr>
              <w:spacing w:line="360" w:lineRule="auto"/>
              <w:jc w:val="center"/>
              <w:rPr>
                <w:rFonts w:asciiTheme="minorEastAsia" w:hAnsiTheme="minorEastAsia"/>
                <w:szCs w:val="21"/>
              </w:rPr>
            </w:pPr>
            <w:r>
              <w:rPr>
                <w:rFonts w:hint="eastAsia" w:asciiTheme="minorEastAsia" w:hAnsiTheme="minorEastAsia"/>
                <w:szCs w:val="21"/>
              </w:rPr>
              <w:t>引导区</w:t>
            </w:r>
          </w:p>
        </w:tc>
        <w:tc>
          <w:tcPr>
            <w:tcW w:w="1038" w:type="dxa"/>
          </w:tcPr>
          <w:p w14:paraId="5A90BE81">
            <w:pPr>
              <w:spacing w:line="360" w:lineRule="auto"/>
              <w:jc w:val="center"/>
              <w:rPr>
                <w:rFonts w:asciiTheme="minorEastAsia" w:hAnsiTheme="minorEastAsia"/>
                <w:szCs w:val="21"/>
              </w:rPr>
            </w:pPr>
            <w:r>
              <w:rPr>
                <w:rFonts w:hint="eastAsia" w:asciiTheme="minorEastAsia" w:hAnsiTheme="minorEastAsia"/>
                <w:szCs w:val="21"/>
              </w:rPr>
              <w:t>核心</w:t>
            </w:r>
          </w:p>
          <w:p w14:paraId="3D06282F">
            <w:pPr>
              <w:spacing w:line="360" w:lineRule="auto"/>
              <w:jc w:val="center"/>
              <w:rPr>
                <w:rFonts w:asciiTheme="minorEastAsia" w:hAnsiTheme="minorEastAsia"/>
                <w:szCs w:val="21"/>
              </w:rPr>
            </w:pPr>
            <w:r>
              <w:rPr>
                <w:rFonts w:hint="eastAsia" w:asciiTheme="minorEastAsia" w:hAnsiTheme="minorEastAsia"/>
                <w:szCs w:val="21"/>
              </w:rPr>
              <w:t>开发区</w:t>
            </w:r>
          </w:p>
        </w:tc>
        <w:tc>
          <w:tcPr>
            <w:tcW w:w="1038" w:type="dxa"/>
          </w:tcPr>
          <w:p w14:paraId="76984231">
            <w:pPr>
              <w:spacing w:line="360" w:lineRule="auto"/>
              <w:jc w:val="center"/>
              <w:rPr>
                <w:rFonts w:asciiTheme="minorEastAsia" w:hAnsiTheme="minorEastAsia"/>
                <w:szCs w:val="21"/>
              </w:rPr>
            </w:pPr>
            <w:r>
              <w:rPr>
                <w:rFonts w:hint="eastAsia" w:asciiTheme="minorEastAsia" w:hAnsiTheme="minorEastAsia"/>
                <w:szCs w:val="21"/>
              </w:rPr>
              <w:t>规划</w:t>
            </w:r>
          </w:p>
          <w:p w14:paraId="56C3A603">
            <w:pPr>
              <w:spacing w:line="360" w:lineRule="auto"/>
              <w:jc w:val="center"/>
              <w:rPr>
                <w:rFonts w:asciiTheme="minorEastAsia" w:hAnsiTheme="minorEastAsia"/>
                <w:szCs w:val="21"/>
              </w:rPr>
            </w:pPr>
            <w:r>
              <w:rPr>
                <w:rFonts w:hint="eastAsia" w:asciiTheme="minorEastAsia" w:hAnsiTheme="minorEastAsia"/>
                <w:szCs w:val="21"/>
              </w:rPr>
              <w:t>引导区</w:t>
            </w:r>
          </w:p>
        </w:tc>
        <w:tc>
          <w:tcPr>
            <w:tcW w:w="1039" w:type="dxa"/>
          </w:tcPr>
          <w:p w14:paraId="02D41FB6">
            <w:pPr>
              <w:spacing w:line="360" w:lineRule="auto"/>
              <w:jc w:val="center"/>
              <w:rPr>
                <w:rFonts w:asciiTheme="minorEastAsia" w:hAnsiTheme="minorEastAsia"/>
                <w:szCs w:val="21"/>
              </w:rPr>
            </w:pPr>
            <w:r>
              <w:rPr>
                <w:rFonts w:hint="eastAsia" w:asciiTheme="minorEastAsia" w:hAnsiTheme="minorEastAsia"/>
                <w:szCs w:val="21"/>
              </w:rPr>
              <w:t>核心</w:t>
            </w:r>
          </w:p>
          <w:p w14:paraId="12A426A0">
            <w:pPr>
              <w:spacing w:line="360" w:lineRule="auto"/>
              <w:jc w:val="center"/>
              <w:rPr>
                <w:rFonts w:asciiTheme="minorEastAsia" w:hAnsiTheme="minorEastAsia"/>
                <w:szCs w:val="21"/>
              </w:rPr>
            </w:pPr>
            <w:r>
              <w:rPr>
                <w:rFonts w:hint="eastAsia" w:asciiTheme="minorEastAsia" w:hAnsiTheme="minorEastAsia"/>
                <w:szCs w:val="21"/>
              </w:rPr>
              <w:t>开发区</w:t>
            </w:r>
          </w:p>
        </w:tc>
        <w:tc>
          <w:tcPr>
            <w:tcW w:w="1039" w:type="dxa"/>
          </w:tcPr>
          <w:p w14:paraId="450A23DA">
            <w:pPr>
              <w:spacing w:line="360" w:lineRule="auto"/>
              <w:jc w:val="center"/>
              <w:rPr>
                <w:rFonts w:asciiTheme="minorEastAsia" w:hAnsiTheme="minorEastAsia"/>
                <w:szCs w:val="21"/>
              </w:rPr>
            </w:pPr>
            <w:r>
              <w:rPr>
                <w:rFonts w:hint="eastAsia" w:asciiTheme="minorEastAsia" w:hAnsiTheme="minorEastAsia"/>
                <w:szCs w:val="21"/>
              </w:rPr>
              <w:t>规划</w:t>
            </w:r>
          </w:p>
          <w:p w14:paraId="77D4FAC1">
            <w:pPr>
              <w:spacing w:line="360" w:lineRule="auto"/>
              <w:jc w:val="center"/>
              <w:rPr>
                <w:rFonts w:asciiTheme="minorEastAsia" w:hAnsiTheme="minorEastAsia"/>
                <w:szCs w:val="21"/>
              </w:rPr>
            </w:pPr>
            <w:r>
              <w:rPr>
                <w:rFonts w:hint="eastAsia" w:asciiTheme="minorEastAsia" w:hAnsiTheme="minorEastAsia"/>
                <w:szCs w:val="21"/>
              </w:rPr>
              <w:t>引导区</w:t>
            </w:r>
          </w:p>
        </w:tc>
      </w:tr>
      <w:tr w14:paraId="2685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7E5F78FA">
            <w:pPr>
              <w:spacing w:line="360" w:lineRule="auto"/>
              <w:jc w:val="center"/>
              <w:rPr>
                <w:rFonts w:asciiTheme="minorEastAsia" w:hAnsiTheme="minorEastAsia"/>
                <w:szCs w:val="21"/>
              </w:rPr>
            </w:pPr>
            <w:r>
              <w:rPr>
                <w:rFonts w:hint="eastAsia" w:asciiTheme="minorEastAsia" w:hAnsiTheme="minorEastAsia"/>
                <w:szCs w:val="21"/>
              </w:rPr>
              <w:t>商业</w:t>
            </w:r>
          </w:p>
        </w:tc>
        <w:tc>
          <w:tcPr>
            <w:tcW w:w="1038" w:type="dxa"/>
          </w:tcPr>
          <w:p w14:paraId="79CC490B">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26BB3A96">
            <w:pPr>
              <w:spacing w:line="360" w:lineRule="auto"/>
              <w:jc w:val="center"/>
              <w:rPr>
                <w:rFonts w:asciiTheme="minorEastAsia" w:hAnsiTheme="minorEastAsia" w:cstheme="minorEastAsia"/>
                <w:szCs w:val="21"/>
              </w:rPr>
            </w:pPr>
            <w:r>
              <w:rPr>
                <w:rFonts w:hint="eastAsia" w:cs="宋体" w:asciiTheme="minorEastAsia" w:hAnsiTheme="minorEastAsia"/>
                <w:szCs w:val="21"/>
              </w:rPr>
              <w:t>◎</w:t>
            </w:r>
          </w:p>
        </w:tc>
        <w:tc>
          <w:tcPr>
            <w:tcW w:w="1038" w:type="dxa"/>
          </w:tcPr>
          <w:p w14:paraId="0B28569C">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11537F02">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1E17279B">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1321101C">
            <w:pPr>
              <w:spacing w:line="360" w:lineRule="auto"/>
              <w:jc w:val="center"/>
              <w:rPr>
                <w:rFonts w:asciiTheme="minorEastAsia" w:hAnsiTheme="minorEastAsia"/>
                <w:szCs w:val="21"/>
              </w:rPr>
            </w:pPr>
            <w:r>
              <w:rPr>
                <w:rFonts w:hint="eastAsia" w:cs="宋体" w:asciiTheme="minorEastAsia" w:hAnsiTheme="minorEastAsia"/>
                <w:szCs w:val="21"/>
              </w:rPr>
              <w:t>×</w:t>
            </w:r>
          </w:p>
        </w:tc>
      </w:tr>
      <w:tr w14:paraId="4DC0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595610C2">
            <w:pPr>
              <w:spacing w:line="360" w:lineRule="auto"/>
              <w:jc w:val="center"/>
              <w:rPr>
                <w:rFonts w:asciiTheme="minorEastAsia" w:hAnsiTheme="minorEastAsia"/>
                <w:szCs w:val="21"/>
              </w:rPr>
            </w:pPr>
            <w:r>
              <w:rPr>
                <w:rFonts w:hint="eastAsia" w:asciiTheme="minorEastAsia" w:hAnsiTheme="minorEastAsia"/>
                <w:szCs w:val="21"/>
              </w:rPr>
              <w:t>商务、行政办公</w:t>
            </w:r>
          </w:p>
        </w:tc>
        <w:tc>
          <w:tcPr>
            <w:tcW w:w="1038" w:type="dxa"/>
          </w:tcPr>
          <w:p w14:paraId="1BBB2280">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52A4122D">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2BD90C10">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0729D284">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5B87E38E">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4CC97665">
            <w:pPr>
              <w:spacing w:line="360" w:lineRule="auto"/>
              <w:jc w:val="center"/>
              <w:rPr>
                <w:rFonts w:asciiTheme="minorEastAsia" w:hAnsiTheme="minorEastAsia"/>
                <w:szCs w:val="21"/>
              </w:rPr>
            </w:pPr>
            <w:r>
              <w:rPr>
                <w:rFonts w:hint="eastAsia" w:cs="宋体" w:asciiTheme="minorEastAsia" w:hAnsiTheme="minorEastAsia"/>
                <w:szCs w:val="21"/>
              </w:rPr>
              <w:t>×</w:t>
            </w:r>
          </w:p>
        </w:tc>
      </w:tr>
      <w:tr w14:paraId="15B1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781C961C">
            <w:pPr>
              <w:spacing w:line="360" w:lineRule="auto"/>
              <w:jc w:val="center"/>
              <w:rPr>
                <w:rFonts w:asciiTheme="minorEastAsia" w:hAnsiTheme="minorEastAsia"/>
                <w:szCs w:val="21"/>
              </w:rPr>
            </w:pPr>
            <w:r>
              <w:rPr>
                <w:rFonts w:hint="eastAsia" w:asciiTheme="minorEastAsia" w:hAnsiTheme="minorEastAsia"/>
                <w:szCs w:val="21"/>
              </w:rPr>
              <w:t>文化、体育、医疗等公共设施</w:t>
            </w:r>
          </w:p>
        </w:tc>
        <w:tc>
          <w:tcPr>
            <w:tcW w:w="1038" w:type="dxa"/>
          </w:tcPr>
          <w:p w14:paraId="2386F5C3">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5BD8674A">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3241B645">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0206CF67">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511EE7FE">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50C901D2">
            <w:pPr>
              <w:spacing w:line="360" w:lineRule="auto"/>
              <w:jc w:val="center"/>
              <w:rPr>
                <w:rFonts w:asciiTheme="minorEastAsia" w:hAnsiTheme="minorEastAsia"/>
                <w:szCs w:val="21"/>
              </w:rPr>
            </w:pPr>
            <w:r>
              <w:rPr>
                <w:rFonts w:hint="eastAsia" w:cs="宋体" w:asciiTheme="minorEastAsia" w:hAnsiTheme="minorEastAsia"/>
                <w:szCs w:val="21"/>
              </w:rPr>
              <w:t>○</w:t>
            </w:r>
          </w:p>
        </w:tc>
      </w:tr>
      <w:tr w14:paraId="404F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2BA20BA7">
            <w:pPr>
              <w:spacing w:line="360" w:lineRule="auto"/>
              <w:jc w:val="center"/>
              <w:rPr>
                <w:rFonts w:asciiTheme="minorEastAsia" w:hAnsiTheme="minorEastAsia"/>
                <w:szCs w:val="21"/>
              </w:rPr>
            </w:pPr>
            <w:r>
              <w:rPr>
                <w:rFonts w:hint="eastAsia" w:asciiTheme="minorEastAsia" w:hAnsiTheme="minorEastAsia"/>
                <w:szCs w:val="21"/>
              </w:rPr>
              <w:t>公交枢纽</w:t>
            </w:r>
          </w:p>
        </w:tc>
        <w:tc>
          <w:tcPr>
            <w:tcW w:w="1038" w:type="dxa"/>
          </w:tcPr>
          <w:p w14:paraId="2EDB5382">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5D072DB3">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753DADAF">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097FFD98">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3D17F585">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4A7ABA7E">
            <w:pPr>
              <w:spacing w:line="360" w:lineRule="auto"/>
              <w:jc w:val="center"/>
              <w:rPr>
                <w:rFonts w:asciiTheme="minorEastAsia" w:hAnsiTheme="minorEastAsia"/>
                <w:szCs w:val="21"/>
              </w:rPr>
            </w:pPr>
            <w:r>
              <w:rPr>
                <w:rFonts w:hint="eastAsia" w:cs="宋体" w:asciiTheme="minorEastAsia" w:hAnsiTheme="minorEastAsia"/>
                <w:szCs w:val="21"/>
              </w:rPr>
              <w:t>×</w:t>
            </w:r>
          </w:p>
        </w:tc>
      </w:tr>
      <w:tr w14:paraId="10E0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5390AEDD">
            <w:pPr>
              <w:spacing w:line="360" w:lineRule="auto"/>
              <w:jc w:val="center"/>
              <w:rPr>
                <w:rFonts w:asciiTheme="minorEastAsia" w:hAnsiTheme="minorEastAsia"/>
                <w:szCs w:val="21"/>
              </w:rPr>
            </w:pPr>
            <w:r>
              <w:rPr>
                <w:rFonts w:hint="eastAsia" w:asciiTheme="minorEastAsia" w:hAnsiTheme="minorEastAsia"/>
                <w:szCs w:val="21"/>
              </w:rPr>
              <w:t>城市对外交通枢纽</w:t>
            </w:r>
          </w:p>
        </w:tc>
        <w:tc>
          <w:tcPr>
            <w:tcW w:w="1038" w:type="dxa"/>
          </w:tcPr>
          <w:p w14:paraId="4DD9464D">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21C6ACC2">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141B626B">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7E853AF6">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3D37D04C">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0201D88A">
            <w:pPr>
              <w:spacing w:line="360" w:lineRule="auto"/>
              <w:jc w:val="center"/>
              <w:rPr>
                <w:rFonts w:asciiTheme="minorEastAsia" w:hAnsiTheme="minorEastAsia"/>
                <w:szCs w:val="21"/>
              </w:rPr>
            </w:pPr>
            <w:r>
              <w:rPr>
                <w:rFonts w:hint="eastAsia" w:cs="宋体" w:asciiTheme="minorEastAsia" w:hAnsiTheme="minorEastAsia"/>
                <w:szCs w:val="21"/>
              </w:rPr>
              <w:t>×</w:t>
            </w:r>
          </w:p>
        </w:tc>
      </w:tr>
      <w:tr w14:paraId="758B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766150A6">
            <w:pPr>
              <w:spacing w:line="360" w:lineRule="auto"/>
              <w:jc w:val="center"/>
              <w:rPr>
                <w:rFonts w:asciiTheme="minorEastAsia" w:hAnsiTheme="minorEastAsia"/>
                <w:szCs w:val="21"/>
              </w:rPr>
            </w:pPr>
            <w:r>
              <w:rPr>
                <w:rFonts w:hint="eastAsia" w:asciiTheme="minorEastAsia" w:hAnsiTheme="minorEastAsia"/>
                <w:szCs w:val="21"/>
              </w:rPr>
              <w:t>地下通道、地下广场等人行系统</w:t>
            </w:r>
          </w:p>
        </w:tc>
        <w:tc>
          <w:tcPr>
            <w:tcW w:w="1038" w:type="dxa"/>
          </w:tcPr>
          <w:p w14:paraId="16F8FAB2">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34D0FFA5">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3CE3C1FB">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0CA1DDA6">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5E94600F">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2732B749">
            <w:pPr>
              <w:spacing w:line="360" w:lineRule="auto"/>
              <w:jc w:val="center"/>
              <w:rPr>
                <w:rFonts w:asciiTheme="minorEastAsia" w:hAnsiTheme="minorEastAsia"/>
                <w:szCs w:val="21"/>
              </w:rPr>
            </w:pPr>
            <w:bookmarkStart w:id="11" w:name="OLE_LINK12"/>
            <w:bookmarkStart w:id="12" w:name="OLE_LINK13"/>
            <w:r>
              <w:rPr>
                <w:rFonts w:hint="eastAsia" w:cs="宋体" w:asciiTheme="minorEastAsia" w:hAnsiTheme="minorEastAsia"/>
                <w:szCs w:val="21"/>
              </w:rPr>
              <w:t>×</w:t>
            </w:r>
            <w:bookmarkEnd w:id="11"/>
            <w:bookmarkEnd w:id="12"/>
          </w:p>
        </w:tc>
      </w:tr>
      <w:tr w14:paraId="1BA7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2B8D7039">
            <w:pPr>
              <w:spacing w:line="360" w:lineRule="auto"/>
              <w:jc w:val="center"/>
              <w:rPr>
                <w:rFonts w:asciiTheme="minorEastAsia" w:hAnsiTheme="minorEastAsia"/>
                <w:szCs w:val="21"/>
              </w:rPr>
            </w:pPr>
            <w:r>
              <w:rPr>
                <w:rFonts w:hint="eastAsia" w:asciiTheme="minorEastAsia" w:hAnsiTheme="minorEastAsia"/>
                <w:szCs w:val="21"/>
              </w:rPr>
              <w:t>公共地下停车库</w:t>
            </w:r>
          </w:p>
        </w:tc>
        <w:tc>
          <w:tcPr>
            <w:tcW w:w="1038" w:type="dxa"/>
          </w:tcPr>
          <w:p w14:paraId="0A6B98B9">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67DA9D33">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176419C0">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8" w:type="dxa"/>
          </w:tcPr>
          <w:p w14:paraId="71F68073">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1E2AFEFA">
            <w:pPr>
              <w:spacing w:line="360" w:lineRule="auto"/>
              <w:jc w:val="center"/>
              <w:rPr>
                <w:rFonts w:asciiTheme="minorEastAsia" w:hAnsiTheme="minorEastAsia"/>
                <w:szCs w:val="21"/>
              </w:rPr>
            </w:pPr>
            <w:r>
              <w:rPr>
                <w:rFonts w:hint="eastAsia" w:cs="宋体" w:asciiTheme="minorEastAsia" w:hAnsiTheme="minorEastAsia"/>
                <w:szCs w:val="21"/>
              </w:rPr>
              <w:t>○</w:t>
            </w:r>
          </w:p>
        </w:tc>
        <w:tc>
          <w:tcPr>
            <w:tcW w:w="1039" w:type="dxa"/>
          </w:tcPr>
          <w:p w14:paraId="372A4F5B">
            <w:pPr>
              <w:spacing w:line="360" w:lineRule="auto"/>
              <w:jc w:val="center"/>
              <w:rPr>
                <w:rFonts w:asciiTheme="minorEastAsia" w:hAnsiTheme="minorEastAsia"/>
                <w:szCs w:val="21"/>
              </w:rPr>
            </w:pPr>
            <w:r>
              <w:rPr>
                <w:rFonts w:hint="eastAsia" w:cs="宋体" w:asciiTheme="minorEastAsia" w:hAnsiTheme="minorEastAsia"/>
                <w:szCs w:val="21"/>
              </w:rPr>
              <w:t>×</w:t>
            </w:r>
          </w:p>
        </w:tc>
      </w:tr>
    </w:tbl>
    <w:p w14:paraId="52C0DC14">
      <w:pPr>
        <w:spacing w:line="360" w:lineRule="auto"/>
        <w:rPr>
          <w:rFonts w:cs="宋体" w:asciiTheme="minorEastAsia" w:hAnsiTheme="minorEastAsia"/>
          <w:szCs w:val="21"/>
        </w:rPr>
      </w:pPr>
      <w:r>
        <w:rPr>
          <w:rFonts w:hint="eastAsia" w:asciiTheme="minorEastAsia" w:hAnsiTheme="minorEastAsia"/>
          <w:szCs w:val="21"/>
        </w:rPr>
        <w:t>注：1.</w:t>
      </w:r>
      <w:r>
        <w:rPr>
          <w:rFonts w:hint="eastAsia" w:cs="宋体" w:asciiTheme="minorEastAsia" w:hAnsiTheme="minorEastAsia"/>
          <w:szCs w:val="21"/>
        </w:rPr>
        <w:t>●：必连地块  ◎：尽连地块  ○：可连地块  ×：不连地块。</w:t>
      </w:r>
    </w:p>
    <w:p w14:paraId="76E5F86F">
      <w:pPr>
        <w:tabs>
          <w:tab w:val="left" w:pos="312"/>
        </w:tabs>
        <w:spacing w:line="360" w:lineRule="auto"/>
        <w:ind w:left="480"/>
        <w:jc w:val="left"/>
        <w:rPr>
          <w:rFonts w:cs="宋体" w:asciiTheme="minorEastAsia" w:hAnsiTheme="minorEastAsia"/>
          <w:szCs w:val="21"/>
        </w:rPr>
      </w:pPr>
      <w:r>
        <w:rPr>
          <w:rFonts w:hint="eastAsia" w:cs="宋体" w:asciiTheme="minorEastAsia" w:hAnsiTheme="minorEastAsia"/>
          <w:szCs w:val="21"/>
        </w:rPr>
        <w:t>2</w:t>
      </w:r>
      <w:r>
        <w:rPr>
          <w:rFonts w:cs="宋体" w:asciiTheme="minorEastAsia" w:hAnsiTheme="minorEastAsia"/>
          <w:szCs w:val="21"/>
        </w:rPr>
        <w:t>.</w:t>
      </w:r>
      <w:r>
        <w:rPr>
          <w:rFonts w:hint="eastAsia" w:cs="宋体" w:asciiTheme="minorEastAsia" w:hAnsiTheme="minorEastAsia"/>
          <w:szCs w:val="21"/>
        </w:rPr>
        <w:t>核心开发区指轨道车站站址中心外侧</w:t>
      </w:r>
      <w:r>
        <w:rPr>
          <w:rFonts w:cs="宋体" w:asciiTheme="minorEastAsia" w:hAnsiTheme="minorEastAsia"/>
          <w:szCs w:val="21"/>
        </w:rPr>
        <w:t>2</w:t>
      </w:r>
      <w:r>
        <w:rPr>
          <w:rFonts w:hint="eastAsia" w:cs="宋体" w:asciiTheme="minorEastAsia" w:hAnsiTheme="minorEastAsia"/>
          <w:szCs w:val="21"/>
        </w:rPr>
        <w:t>00m范围；规划引导区指轨道车站站址中心外侧200m～500m。</w:t>
      </w:r>
    </w:p>
    <w:p w14:paraId="3C99076E">
      <w:pPr>
        <w:pStyle w:val="19"/>
        <w:tabs>
          <w:tab w:val="left" w:pos="312"/>
        </w:tabs>
        <w:spacing w:line="360" w:lineRule="auto"/>
        <w:ind w:firstLine="0" w:firstLineChars="0"/>
        <w:jc w:val="left"/>
        <w:rPr>
          <w:rFonts w:asciiTheme="minorEastAsia" w:hAnsiTheme="minorEastAsia"/>
          <w:sz w:val="24"/>
        </w:rPr>
      </w:pPr>
      <w:r>
        <w:rPr>
          <w:rFonts w:cs="宋体" w:asciiTheme="minorEastAsia" w:hAnsiTheme="minorEastAsia"/>
          <w:sz w:val="24"/>
        </w:rPr>
        <w:t xml:space="preserve">4.2.3 </w:t>
      </w:r>
      <w:r>
        <w:rPr>
          <w:rFonts w:hint="eastAsia" w:cs="宋体" w:asciiTheme="minorEastAsia" w:hAnsiTheme="minorEastAsia"/>
          <w:sz w:val="24"/>
        </w:rPr>
        <w:t>与轨道交通人流活动无关或连通后易产生安全隐患的地下空间，如地下机动车道、市政场站设备用房、仓储设施等，不应与</w:t>
      </w:r>
      <w:r>
        <w:rPr>
          <w:rFonts w:hint="eastAsia" w:asciiTheme="minorEastAsia" w:hAnsiTheme="minorEastAsia"/>
          <w:sz w:val="24"/>
        </w:rPr>
        <w:t>轨道交通站点进行直接连通。</w:t>
      </w:r>
    </w:p>
    <w:p w14:paraId="46449B38">
      <w:pPr>
        <w:pStyle w:val="19"/>
        <w:tabs>
          <w:tab w:val="left" w:pos="312"/>
        </w:tabs>
        <w:spacing w:line="360" w:lineRule="auto"/>
        <w:ind w:firstLine="0" w:firstLineChars="0"/>
        <w:jc w:val="left"/>
        <w:rPr>
          <w:rFonts w:cs="宋体" w:asciiTheme="minorEastAsia" w:hAnsiTheme="minorEastAsia"/>
          <w:sz w:val="24"/>
        </w:rPr>
      </w:pPr>
      <w:r>
        <w:rPr>
          <w:rFonts w:hint="eastAsia" w:asciiTheme="minorEastAsia" w:hAnsiTheme="minorEastAsia"/>
          <w:sz w:val="24"/>
        </w:rPr>
        <w:t>4</w:t>
      </w:r>
      <w:r>
        <w:rPr>
          <w:rFonts w:asciiTheme="minorEastAsia" w:hAnsiTheme="minorEastAsia"/>
          <w:sz w:val="24"/>
        </w:rPr>
        <w:t xml:space="preserve">.2.4 </w:t>
      </w:r>
      <w:r>
        <w:rPr>
          <w:rFonts w:hint="eastAsia" w:asciiTheme="minorEastAsia" w:hAnsiTheme="minorEastAsia"/>
          <w:sz w:val="24"/>
        </w:rPr>
        <w:t>重点区域地下公共连通空间与防空地下室之间，应当按照规划要求实现互相连通，或者在适当位置预留地下连通口，并符合防空地下室相关管理定。</w:t>
      </w:r>
    </w:p>
    <w:p w14:paraId="641D8FCE">
      <w:pPr>
        <w:spacing w:line="360" w:lineRule="auto"/>
        <w:rPr>
          <w:rFonts w:ascii="黑体" w:hAnsi="黑体" w:eastAsia="黑体"/>
          <w:b/>
          <w:bCs/>
          <w:sz w:val="24"/>
        </w:rPr>
      </w:pPr>
    </w:p>
    <w:p w14:paraId="64BFB2F6">
      <w:pPr>
        <w:spacing w:line="360" w:lineRule="auto"/>
        <w:jc w:val="center"/>
        <w:outlineLvl w:val="1"/>
        <w:rPr>
          <w:rFonts w:ascii="黑体" w:hAnsi="黑体" w:eastAsia="黑体"/>
          <w:b/>
          <w:bCs/>
          <w:sz w:val="24"/>
        </w:rPr>
      </w:pPr>
      <w:bookmarkStart w:id="13" w:name="_Toc190693031"/>
      <w:r>
        <w:rPr>
          <w:rFonts w:hint="eastAsia" w:ascii="黑体" w:hAnsi="黑体" w:eastAsia="黑体"/>
          <w:b/>
          <w:bCs/>
          <w:sz w:val="24"/>
        </w:rPr>
        <w:t>4.3 地下公共连通空间的构成和组织</w:t>
      </w:r>
      <w:bookmarkEnd w:id="13"/>
    </w:p>
    <w:p w14:paraId="3D900D0B">
      <w:pPr>
        <w:spacing w:line="360" w:lineRule="auto"/>
        <w:rPr>
          <w:rFonts w:ascii="黑体" w:hAnsi="黑体" w:eastAsia="黑体"/>
          <w:b/>
          <w:bCs/>
          <w:sz w:val="24"/>
        </w:rPr>
      </w:pPr>
    </w:p>
    <w:p w14:paraId="637BD1C0">
      <w:pPr>
        <w:spacing w:line="360" w:lineRule="auto"/>
        <w:rPr>
          <w:rFonts w:asciiTheme="minorEastAsia" w:hAnsiTheme="minorEastAsia"/>
          <w:bCs/>
          <w:sz w:val="24"/>
        </w:rPr>
      </w:pPr>
      <w:r>
        <w:rPr>
          <w:rFonts w:hint="eastAsia" w:asciiTheme="minorEastAsia" w:hAnsiTheme="minorEastAsia"/>
          <w:bCs/>
          <w:sz w:val="24"/>
        </w:rPr>
        <w:t>4</w:t>
      </w:r>
      <w:r>
        <w:rPr>
          <w:rFonts w:asciiTheme="minorEastAsia" w:hAnsiTheme="minorEastAsia"/>
          <w:bCs/>
          <w:sz w:val="24"/>
        </w:rPr>
        <w:t>.3.1</w:t>
      </w:r>
      <w:r>
        <w:rPr>
          <w:rFonts w:hint="eastAsia" w:asciiTheme="minorEastAsia" w:hAnsiTheme="minorEastAsia"/>
          <w:bCs/>
          <w:sz w:val="24"/>
        </w:rPr>
        <w:t>地下公共连通空间的构成</w:t>
      </w:r>
    </w:p>
    <w:p w14:paraId="49B1DCCE">
      <w:pPr>
        <w:spacing w:line="360" w:lineRule="auto"/>
        <w:ind w:firstLine="480" w:firstLineChars="20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连通空间主体：包括地下人行通道、下沉广场、地下中庭等空间形式。</w:t>
      </w:r>
    </w:p>
    <w:p w14:paraId="447921E5">
      <w:pPr>
        <w:spacing w:line="360" w:lineRule="auto"/>
        <w:ind w:firstLine="480" w:firstLineChars="200"/>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商业和服务设施：为满足行人的日常基础需求，在地下空间内设置的商店、餐饮、报刊亭和便民服务站等设施。</w:t>
      </w:r>
    </w:p>
    <w:p w14:paraId="0E0080A3">
      <w:pPr>
        <w:spacing w:line="360" w:lineRule="auto"/>
        <w:ind w:firstLine="480" w:firstLineChars="200"/>
        <w:rPr>
          <w:rFonts w:asciiTheme="minorEastAsia" w:hAnsiTheme="minorEastAsia"/>
          <w:sz w:val="24"/>
        </w:rPr>
      </w:pPr>
      <w:r>
        <w:rPr>
          <w:rFonts w:hint="eastAsia" w:asciiTheme="minorEastAsia" w:hAnsiTheme="minorEastAsia"/>
          <w:sz w:val="24"/>
        </w:rPr>
        <w:t>3</w:t>
      </w:r>
      <w:r>
        <w:rPr>
          <w:rFonts w:asciiTheme="minorEastAsia" w:hAnsiTheme="minorEastAsia"/>
          <w:sz w:val="24"/>
        </w:rPr>
        <w:t xml:space="preserve"> </w:t>
      </w:r>
      <w:r>
        <w:rPr>
          <w:rFonts w:hint="eastAsia" w:asciiTheme="minorEastAsia" w:hAnsiTheme="minorEastAsia"/>
          <w:sz w:val="24"/>
        </w:rPr>
        <w:t>交通连接枢纽：与地下空间相连的地铁站、公交站或其他交通枢纽。</w:t>
      </w:r>
    </w:p>
    <w:p w14:paraId="0F561770">
      <w:pPr>
        <w:spacing w:line="360" w:lineRule="auto"/>
        <w:ind w:firstLine="480" w:firstLineChars="200"/>
        <w:rPr>
          <w:rFonts w:asciiTheme="minorEastAsia" w:hAnsiTheme="minorEastAsia"/>
          <w:sz w:val="24"/>
        </w:rPr>
      </w:pPr>
      <w:r>
        <w:rPr>
          <w:rFonts w:asciiTheme="minorEastAsia" w:hAnsiTheme="minorEastAsia"/>
          <w:sz w:val="24"/>
        </w:rPr>
        <w:t xml:space="preserve">4 </w:t>
      </w:r>
      <w:r>
        <w:rPr>
          <w:rFonts w:hint="eastAsia" w:asciiTheme="minorEastAsia" w:hAnsiTheme="minorEastAsia"/>
          <w:sz w:val="24"/>
        </w:rPr>
        <w:t>安全防灾设施：为了确保行人安全，配备的急救设备、监控系统、紧急电话和安全警报系统等设施。</w:t>
      </w:r>
    </w:p>
    <w:p w14:paraId="0369619B">
      <w:pPr>
        <w:spacing w:line="360" w:lineRule="auto"/>
        <w:ind w:firstLine="480" w:firstLineChars="200"/>
        <w:rPr>
          <w:rFonts w:asciiTheme="minorEastAsia" w:hAnsiTheme="minorEastAsia"/>
          <w:sz w:val="24"/>
        </w:rPr>
      </w:pPr>
      <w:r>
        <w:rPr>
          <w:rFonts w:asciiTheme="minorEastAsia" w:hAnsiTheme="minorEastAsia"/>
          <w:sz w:val="24"/>
        </w:rPr>
        <w:t xml:space="preserve">5 </w:t>
      </w:r>
      <w:r>
        <w:rPr>
          <w:rFonts w:hint="eastAsia" w:asciiTheme="minorEastAsia" w:hAnsiTheme="minorEastAsia"/>
          <w:sz w:val="24"/>
        </w:rPr>
        <w:t>标识和导航设施：为行人提供方向和位置指示的设施，如指示牌、地图和信息柱等。</w:t>
      </w:r>
    </w:p>
    <w:p w14:paraId="54C9B40B">
      <w:pPr>
        <w:spacing w:line="360" w:lineRule="auto"/>
        <w:ind w:firstLine="480" w:firstLineChars="200"/>
        <w:rPr>
          <w:rFonts w:asciiTheme="minorEastAsia" w:hAnsiTheme="minorEastAsia"/>
          <w:sz w:val="24"/>
        </w:rPr>
      </w:pPr>
      <w:r>
        <w:rPr>
          <w:rFonts w:asciiTheme="minorEastAsia" w:hAnsiTheme="minorEastAsia"/>
          <w:sz w:val="24"/>
        </w:rPr>
        <w:t xml:space="preserve">6 </w:t>
      </w:r>
      <w:r>
        <w:rPr>
          <w:rFonts w:hint="eastAsia" w:asciiTheme="minorEastAsia" w:hAnsiTheme="minorEastAsia"/>
          <w:sz w:val="24"/>
        </w:rPr>
        <w:t>文化艺术装饰：通过艺术文化装饰并配合灯光设计，提升地下空间的吸引力和舒适感。</w:t>
      </w:r>
    </w:p>
    <w:p w14:paraId="76EAA024">
      <w:pPr>
        <w:spacing w:line="360" w:lineRule="auto"/>
        <w:rPr>
          <w:rFonts w:asciiTheme="minorEastAsia" w:hAnsiTheme="minorEastAsia"/>
          <w:sz w:val="24"/>
        </w:rPr>
      </w:pPr>
      <w:r>
        <w:rPr>
          <w:rFonts w:hint="eastAsia" w:asciiTheme="minorEastAsia" w:hAnsiTheme="minorEastAsia"/>
          <w:sz w:val="24"/>
        </w:rPr>
        <w:t>4</w:t>
      </w:r>
      <w:r>
        <w:rPr>
          <w:rFonts w:asciiTheme="minorEastAsia" w:hAnsiTheme="minorEastAsia"/>
          <w:sz w:val="24"/>
        </w:rPr>
        <w:t xml:space="preserve">.3.2 </w:t>
      </w:r>
      <w:r>
        <w:rPr>
          <w:rFonts w:hint="eastAsia" w:asciiTheme="minorEastAsia" w:hAnsiTheme="minorEastAsia"/>
          <w:sz w:val="24"/>
        </w:rPr>
        <w:t>地下空间的连通方式可分为地下通道连通、下沉式广场连通、地下中庭连通。</w:t>
      </w:r>
    </w:p>
    <w:p w14:paraId="3A80EF98">
      <w:pPr>
        <w:spacing w:line="360" w:lineRule="auto"/>
        <w:rPr>
          <w:rFonts w:asciiTheme="minorEastAsia" w:hAnsiTheme="minorEastAsia"/>
          <w:sz w:val="24"/>
        </w:rPr>
      </w:pPr>
      <w:r>
        <w:rPr>
          <w:rFonts w:hint="eastAsia" w:asciiTheme="minorEastAsia" w:hAnsiTheme="minorEastAsia"/>
          <w:sz w:val="24"/>
        </w:rPr>
        <w:t>4</w:t>
      </w:r>
      <w:r>
        <w:rPr>
          <w:rFonts w:asciiTheme="minorEastAsia" w:hAnsiTheme="minorEastAsia"/>
          <w:sz w:val="24"/>
        </w:rPr>
        <w:t xml:space="preserve">.3.3 </w:t>
      </w:r>
      <w:r>
        <w:rPr>
          <w:rFonts w:hint="eastAsia" w:asciiTheme="minorEastAsia" w:hAnsiTheme="minorEastAsia"/>
          <w:sz w:val="24"/>
        </w:rPr>
        <w:t>地下连通通道根据其人流集散流通量可划分主通道和次通道两种类型。</w:t>
      </w:r>
    </w:p>
    <w:p w14:paraId="3B335638">
      <w:pPr>
        <w:spacing w:line="360" w:lineRule="auto"/>
        <w:rPr>
          <w:rFonts w:asciiTheme="minorEastAsia" w:hAnsiTheme="minorEastAsia"/>
          <w:sz w:val="24"/>
        </w:rPr>
      </w:pPr>
      <w:r>
        <w:rPr>
          <w:rFonts w:asciiTheme="minorEastAsia" w:hAnsiTheme="minorEastAsia"/>
          <w:sz w:val="24"/>
        </w:rPr>
        <w:t xml:space="preserve">4.3.4 </w:t>
      </w:r>
      <w:r>
        <w:rPr>
          <w:rFonts w:hint="eastAsia" w:asciiTheme="minorEastAsia" w:hAnsiTheme="minorEastAsia"/>
          <w:sz w:val="24"/>
        </w:rPr>
        <w:t>地下公共连通空间类型与功能设置应符合表4.3.</w:t>
      </w:r>
      <w:r>
        <w:rPr>
          <w:rFonts w:asciiTheme="minorEastAsia" w:hAnsiTheme="minorEastAsia"/>
          <w:sz w:val="24"/>
        </w:rPr>
        <w:t>4</w:t>
      </w:r>
      <w:r>
        <w:rPr>
          <w:rFonts w:hint="eastAsia" w:asciiTheme="minorEastAsia" w:hAnsiTheme="minorEastAsia"/>
          <w:sz w:val="24"/>
        </w:rPr>
        <w:t>的规定。</w:t>
      </w:r>
    </w:p>
    <w:p w14:paraId="78401C8E">
      <w:pPr>
        <w:spacing w:line="360" w:lineRule="auto"/>
        <w:jc w:val="center"/>
        <w:rPr>
          <w:rFonts w:asciiTheme="minorEastAsia" w:hAnsiTheme="minorEastAsia"/>
          <w:sz w:val="24"/>
        </w:rPr>
      </w:pPr>
      <w:r>
        <w:rPr>
          <w:rFonts w:hint="eastAsia" w:asciiTheme="minorEastAsia" w:hAnsiTheme="minorEastAsia"/>
          <w:sz w:val="24"/>
        </w:rPr>
        <w:t>表4.3.</w:t>
      </w:r>
      <w:r>
        <w:rPr>
          <w:rFonts w:asciiTheme="minorEastAsia" w:hAnsiTheme="minorEastAsia"/>
          <w:sz w:val="24"/>
        </w:rPr>
        <w:t>4</w:t>
      </w:r>
      <w:r>
        <w:rPr>
          <w:rFonts w:hint="eastAsia" w:asciiTheme="minorEastAsia" w:hAnsiTheme="minorEastAsia"/>
          <w:sz w:val="24"/>
        </w:rPr>
        <w:t xml:space="preserve"> 重点区域地下公共连通空间类型与功能设置</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126"/>
        <w:gridCol w:w="2693"/>
        <w:gridCol w:w="2631"/>
      </w:tblGrid>
      <w:tr w14:paraId="040A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gridSpan w:val="2"/>
            <w:vAlign w:val="center"/>
          </w:tcPr>
          <w:p w14:paraId="7410C211">
            <w:pPr>
              <w:tabs>
                <w:tab w:val="left" w:pos="329"/>
              </w:tabs>
              <w:spacing w:line="360" w:lineRule="auto"/>
              <w:jc w:val="center"/>
              <w:rPr>
                <w:rFonts w:asciiTheme="minorEastAsia" w:hAnsiTheme="minorEastAsia"/>
                <w:sz w:val="24"/>
              </w:rPr>
            </w:pPr>
            <w:r>
              <w:rPr>
                <w:rFonts w:hint="eastAsia" w:asciiTheme="minorEastAsia" w:hAnsiTheme="minorEastAsia"/>
                <w:sz w:val="24"/>
              </w:rPr>
              <w:t>地下公共连通空间类型</w:t>
            </w:r>
          </w:p>
        </w:tc>
        <w:tc>
          <w:tcPr>
            <w:tcW w:w="2693" w:type="dxa"/>
            <w:vAlign w:val="center"/>
          </w:tcPr>
          <w:p w14:paraId="7661CFBB">
            <w:pPr>
              <w:tabs>
                <w:tab w:val="left" w:pos="329"/>
              </w:tabs>
              <w:spacing w:line="360" w:lineRule="auto"/>
              <w:jc w:val="center"/>
              <w:rPr>
                <w:rFonts w:asciiTheme="minorEastAsia" w:hAnsiTheme="minorEastAsia"/>
                <w:sz w:val="24"/>
              </w:rPr>
            </w:pPr>
            <w:r>
              <w:rPr>
                <w:rFonts w:hint="eastAsia" w:asciiTheme="minorEastAsia" w:hAnsiTheme="minorEastAsia"/>
                <w:sz w:val="24"/>
              </w:rPr>
              <w:t>功能设置</w:t>
            </w:r>
          </w:p>
        </w:tc>
        <w:tc>
          <w:tcPr>
            <w:tcW w:w="2631" w:type="dxa"/>
            <w:vAlign w:val="center"/>
          </w:tcPr>
          <w:p w14:paraId="6A75AFAC">
            <w:pPr>
              <w:tabs>
                <w:tab w:val="left" w:pos="329"/>
              </w:tabs>
              <w:spacing w:line="360" w:lineRule="auto"/>
              <w:jc w:val="center"/>
              <w:rPr>
                <w:rFonts w:asciiTheme="minorEastAsia" w:hAnsiTheme="minorEastAsia"/>
                <w:sz w:val="24"/>
              </w:rPr>
            </w:pPr>
            <w:r>
              <w:rPr>
                <w:rFonts w:hint="eastAsia" w:asciiTheme="minorEastAsia" w:hAnsiTheme="minorEastAsia"/>
                <w:sz w:val="24"/>
              </w:rPr>
              <w:t>行人活动</w:t>
            </w:r>
          </w:p>
        </w:tc>
      </w:tr>
      <w:tr w14:paraId="091B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vAlign w:val="center"/>
          </w:tcPr>
          <w:p w14:paraId="7F5FDDB7">
            <w:pPr>
              <w:tabs>
                <w:tab w:val="left" w:pos="329"/>
              </w:tabs>
              <w:spacing w:line="360" w:lineRule="auto"/>
              <w:jc w:val="center"/>
              <w:rPr>
                <w:rFonts w:asciiTheme="minorEastAsia" w:hAnsiTheme="minorEastAsia"/>
                <w:sz w:val="24"/>
              </w:rPr>
            </w:pPr>
            <w:r>
              <w:rPr>
                <w:rFonts w:hint="eastAsia" w:asciiTheme="minorEastAsia" w:hAnsiTheme="minorEastAsia"/>
                <w:sz w:val="24"/>
              </w:rPr>
              <w:t>地下连通通道</w:t>
            </w:r>
          </w:p>
        </w:tc>
        <w:tc>
          <w:tcPr>
            <w:tcW w:w="2126" w:type="dxa"/>
            <w:vMerge w:val="restart"/>
            <w:vAlign w:val="center"/>
          </w:tcPr>
          <w:p w14:paraId="2208C764">
            <w:pPr>
              <w:tabs>
                <w:tab w:val="left" w:pos="329"/>
              </w:tabs>
              <w:spacing w:line="360" w:lineRule="auto"/>
              <w:jc w:val="center"/>
              <w:rPr>
                <w:rFonts w:asciiTheme="minorEastAsia" w:hAnsiTheme="minorEastAsia"/>
                <w:sz w:val="24"/>
              </w:rPr>
            </w:pPr>
            <w:r>
              <w:rPr>
                <w:rFonts w:hint="eastAsia" w:asciiTheme="minorEastAsia" w:hAnsiTheme="minorEastAsia"/>
                <w:sz w:val="24"/>
              </w:rPr>
              <w:t>主通道</w:t>
            </w:r>
          </w:p>
        </w:tc>
        <w:tc>
          <w:tcPr>
            <w:tcW w:w="2693" w:type="dxa"/>
            <w:vAlign w:val="center"/>
          </w:tcPr>
          <w:p w14:paraId="780461DC">
            <w:pPr>
              <w:tabs>
                <w:tab w:val="left" w:pos="329"/>
              </w:tabs>
              <w:spacing w:line="360" w:lineRule="auto"/>
              <w:jc w:val="center"/>
              <w:rPr>
                <w:rFonts w:asciiTheme="minorEastAsia" w:hAnsiTheme="minorEastAsia"/>
                <w:sz w:val="24"/>
              </w:rPr>
            </w:pPr>
            <w:r>
              <w:rPr>
                <w:rFonts w:hint="eastAsia" w:asciiTheme="minorEastAsia" w:hAnsiTheme="minorEastAsia"/>
                <w:sz w:val="24"/>
              </w:rPr>
              <w:t>通行</w:t>
            </w:r>
          </w:p>
        </w:tc>
        <w:tc>
          <w:tcPr>
            <w:tcW w:w="2631" w:type="dxa"/>
            <w:vAlign w:val="center"/>
          </w:tcPr>
          <w:p w14:paraId="0E74B34A">
            <w:pPr>
              <w:tabs>
                <w:tab w:val="left" w:pos="329"/>
              </w:tabs>
              <w:spacing w:line="360" w:lineRule="auto"/>
              <w:jc w:val="center"/>
              <w:rPr>
                <w:rFonts w:asciiTheme="minorEastAsia" w:hAnsiTheme="minorEastAsia"/>
                <w:sz w:val="24"/>
              </w:rPr>
            </w:pPr>
            <w:r>
              <w:rPr>
                <w:rFonts w:hint="eastAsia" w:asciiTheme="minorEastAsia" w:hAnsiTheme="minorEastAsia"/>
                <w:sz w:val="24"/>
              </w:rPr>
              <w:t>步行</w:t>
            </w:r>
          </w:p>
        </w:tc>
      </w:tr>
      <w:tr w14:paraId="7F2D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center"/>
          </w:tcPr>
          <w:p w14:paraId="6BD8F7BA">
            <w:pPr>
              <w:tabs>
                <w:tab w:val="left" w:pos="329"/>
              </w:tabs>
              <w:spacing w:line="360" w:lineRule="auto"/>
              <w:jc w:val="center"/>
              <w:rPr>
                <w:rFonts w:asciiTheme="minorEastAsia" w:hAnsiTheme="minorEastAsia"/>
                <w:sz w:val="24"/>
              </w:rPr>
            </w:pPr>
          </w:p>
        </w:tc>
        <w:tc>
          <w:tcPr>
            <w:tcW w:w="2126" w:type="dxa"/>
            <w:vMerge w:val="continue"/>
            <w:vAlign w:val="center"/>
          </w:tcPr>
          <w:p w14:paraId="3E545B63">
            <w:pPr>
              <w:tabs>
                <w:tab w:val="left" w:pos="329"/>
              </w:tabs>
              <w:spacing w:line="360" w:lineRule="auto"/>
              <w:jc w:val="center"/>
              <w:rPr>
                <w:rFonts w:asciiTheme="minorEastAsia" w:hAnsiTheme="minorEastAsia"/>
                <w:sz w:val="24"/>
              </w:rPr>
            </w:pPr>
          </w:p>
        </w:tc>
        <w:tc>
          <w:tcPr>
            <w:tcW w:w="2693" w:type="dxa"/>
            <w:vAlign w:val="center"/>
          </w:tcPr>
          <w:p w14:paraId="1EA91424">
            <w:pPr>
              <w:tabs>
                <w:tab w:val="left" w:pos="329"/>
              </w:tabs>
              <w:spacing w:line="360" w:lineRule="auto"/>
              <w:jc w:val="center"/>
              <w:rPr>
                <w:rFonts w:asciiTheme="minorEastAsia" w:hAnsiTheme="minorEastAsia"/>
                <w:sz w:val="24"/>
              </w:rPr>
            </w:pPr>
            <w:r>
              <w:rPr>
                <w:rFonts w:hint="eastAsia" w:asciiTheme="minorEastAsia" w:hAnsiTheme="minorEastAsia"/>
                <w:sz w:val="24"/>
              </w:rPr>
              <w:t>通行兼休憩</w:t>
            </w:r>
          </w:p>
        </w:tc>
        <w:tc>
          <w:tcPr>
            <w:tcW w:w="2631" w:type="dxa"/>
            <w:vAlign w:val="center"/>
          </w:tcPr>
          <w:p w14:paraId="4CD2079D">
            <w:pPr>
              <w:tabs>
                <w:tab w:val="left" w:pos="329"/>
              </w:tabs>
              <w:spacing w:line="360" w:lineRule="auto"/>
              <w:jc w:val="center"/>
              <w:rPr>
                <w:rFonts w:asciiTheme="minorEastAsia" w:hAnsiTheme="minorEastAsia"/>
                <w:sz w:val="24"/>
              </w:rPr>
            </w:pPr>
            <w:r>
              <w:rPr>
                <w:rFonts w:hint="eastAsia" w:asciiTheme="minorEastAsia" w:hAnsiTheme="minorEastAsia"/>
                <w:sz w:val="24"/>
              </w:rPr>
              <w:t>步行、休憩</w:t>
            </w:r>
          </w:p>
        </w:tc>
      </w:tr>
      <w:tr w14:paraId="145D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center"/>
          </w:tcPr>
          <w:p w14:paraId="240EDC55">
            <w:pPr>
              <w:tabs>
                <w:tab w:val="left" w:pos="329"/>
              </w:tabs>
              <w:spacing w:line="360" w:lineRule="auto"/>
              <w:jc w:val="center"/>
              <w:rPr>
                <w:rFonts w:asciiTheme="minorEastAsia" w:hAnsiTheme="minorEastAsia"/>
                <w:sz w:val="24"/>
              </w:rPr>
            </w:pPr>
          </w:p>
        </w:tc>
        <w:tc>
          <w:tcPr>
            <w:tcW w:w="2126" w:type="dxa"/>
            <w:vMerge w:val="continue"/>
            <w:vAlign w:val="center"/>
          </w:tcPr>
          <w:p w14:paraId="40226A1E">
            <w:pPr>
              <w:tabs>
                <w:tab w:val="left" w:pos="329"/>
              </w:tabs>
              <w:spacing w:line="360" w:lineRule="auto"/>
              <w:jc w:val="center"/>
              <w:rPr>
                <w:rFonts w:asciiTheme="minorEastAsia" w:hAnsiTheme="minorEastAsia"/>
                <w:sz w:val="24"/>
              </w:rPr>
            </w:pPr>
          </w:p>
        </w:tc>
        <w:tc>
          <w:tcPr>
            <w:tcW w:w="2693" w:type="dxa"/>
            <w:vAlign w:val="center"/>
          </w:tcPr>
          <w:p w14:paraId="697B187D">
            <w:pPr>
              <w:tabs>
                <w:tab w:val="left" w:pos="329"/>
              </w:tabs>
              <w:spacing w:line="360" w:lineRule="auto"/>
              <w:jc w:val="center"/>
              <w:rPr>
                <w:rFonts w:asciiTheme="minorEastAsia" w:hAnsiTheme="minorEastAsia"/>
                <w:sz w:val="24"/>
              </w:rPr>
            </w:pPr>
            <w:r>
              <w:rPr>
                <w:rFonts w:hint="eastAsia" w:asciiTheme="minorEastAsia" w:hAnsiTheme="minorEastAsia"/>
                <w:sz w:val="24"/>
              </w:rPr>
              <w:t>通行兼商业</w:t>
            </w:r>
          </w:p>
        </w:tc>
        <w:tc>
          <w:tcPr>
            <w:tcW w:w="2631" w:type="dxa"/>
            <w:vAlign w:val="center"/>
          </w:tcPr>
          <w:p w14:paraId="2FEAC299">
            <w:pPr>
              <w:tabs>
                <w:tab w:val="left" w:pos="329"/>
              </w:tabs>
              <w:spacing w:line="360" w:lineRule="auto"/>
              <w:jc w:val="center"/>
              <w:rPr>
                <w:rFonts w:asciiTheme="minorEastAsia" w:hAnsiTheme="minorEastAsia"/>
                <w:sz w:val="24"/>
              </w:rPr>
            </w:pPr>
            <w:r>
              <w:rPr>
                <w:rFonts w:hint="eastAsia" w:asciiTheme="minorEastAsia" w:hAnsiTheme="minorEastAsia"/>
                <w:sz w:val="24"/>
              </w:rPr>
              <w:t>步行、休憩、购物</w:t>
            </w:r>
          </w:p>
        </w:tc>
      </w:tr>
      <w:tr w14:paraId="2CCD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center"/>
          </w:tcPr>
          <w:p w14:paraId="5E3E41EA">
            <w:pPr>
              <w:tabs>
                <w:tab w:val="left" w:pos="329"/>
              </w:tabs>
              <w:spacing w:line="360" w:lineRule="auto"/>
              <w:jc w:val="center"/>
              <w:rPr>
                <w:rFonts w:asciiTheme="minorEastAsia" w:hAnsiTheme="minorEastAsia"/>
                <w:sz w:val="24"/>
              </w:rPr>
            </w:pPr>
          </w:p>
        </w:tc>
        <w:tc>
          <w:tcPr>
            <w:tcW w:w="2126" w:type="dxa"/>
            <w:vMerge w:val="restart"/>
            <w:vAlign w:val="center"/>
          </w:tcPr>
          <w:p w14:paraId="5157FD4B">
            <w:pPr>
              <w:tabs>
                <w:tab w:val="left" w:pos="329"/>
              </w:tabs>
              <w:spacing w:line="360" w:lineRule="auto"/>
              <w:jc w:val="center"/>
              <w:rPr>
                <w:rFonts w:asciiTheme="minorEastAsia" w:hAnsiTheme="minorEastAsia"/>
                <w:sz w:val="24"/>
              </w:rPr>
            </w:pPr>
            <w:r>
              <w:rPr>
                <w:rFonts w:hint="eastAsia" w:asciiTheme="minorEastAsia" w:hAnsiTheme="minorEastAsia"/>
                <w:sz w:val="24"/>
              </w:rPr>
              <w:t>次通道</w:t>
            </w:r>
          </w:p>
        </w:tc>
        <w:tc>
          <w:tcPr>
            <w:tcW w:w="2693" w:type="dxa"/>
            <w:vAlign w:val="center"/>
          </w:tcPr>
          <w:p w14:paraId="3215B0E7">
            <w:pPr>
              <w:tabs>
                <w:tab w:val="left" w:pos="329"/>
              </w:tabs>
              <w:spacing w:line="360" w:lineRule="auto"/>
              <w:jc w:val="center"/>
              <w:rPr>
                <w:rFonts w:asciiTheme="minorEastAsia" w:hAnsiTheme="minorEastAsia"/>
                <w:sz w:val="24"/>
              </w:rPr>
            </w:pPr>
            <w:r>
              <w:rPr>
                <w:rFonts w:hint="eastAsia" w:asciiTheme="minorEastAsia" w:hAnsiTheme="minorEastAsia"/>
                <w:sz w:val="24"/>
              </w:rPr>
              <w:t>通行</w:t>
            </w:r>
          </w:p>
        </w:tc>
        <w:tc>
          <w:tcPr>
            <w:tcW w:w="2631" w:type="dxa"/>
            <w:vAlign w:val="center"/>
          </w:tcPr>
          <w:p w14:paraId="1A063FF0">
            <w:pPr>
              <w:tabs>
                <w:tab w:val="left" w:pos="329"/>
              </w:tabs>
              <w:spacing w:line="360" w:lineRule="auto"/>
              <w:jc w:val="center"/>
              <w:rPr>
                <w:rFonts w:asciiTheme="minorEastAsia" w:hAnsiTheme="minorEastAsia"/>
                <w:sz w:val="24"/>
              </w:rPr>
            </w:pPr>
            <w:r>
              <w:rPr>
                <w:rFonts w:hint="eastAsia" w:asciiTheme="minorEastAsia" w:hAnsiTheme="minorEastAsia"/>
                <w:sz w:val="24"/>
              </w:rPr>
              <w:t>步行</w:t>
            </w:r>
          </w:p>
        </w:tc>
      </w:tr>
      <w:tr w14:paraId="31B1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center"/>
          </w:tcPr>
          <w:p w14:paraId="2903D98A">
            <w:pPr>
              <w:tabs>
                <w:tab w:val="left" w:pos="329"/>
              </w:tabs>
              <w:spacing w:line="360" w:lineRule="auto"/>
              <w:jc w:val="center"/>
              <w:rPr>
                <w:rFonts w:asciiTheme="minorEastAsia" w:hAnsiTheme="minorEastAsia"/>
                <w:sz w:val="24"/>
              </w:rPr>
            </w:pPr>
          </w:p>
        </w:tc>
        <w:tc>
          <w:tcPr>
            <w:tcW w:w="2126" w:type="dxa"/>
            <w:vMerge w:val="continue"/>
            <w:vAlign w:val="center"/>
          </w:tcPr>
          <w:p w14:paraId="774DBD8A">
            <w:pPr>
              <w:tabs>
                <w:tab w:val="left" w:pos="329"/>
              </w:tabs>
              <w:spacing w:line="360" w:lineRule="auto"/>
              <w:jc w:val="center"/>
              <w:rPr>
                <w:rFonts w:asciiTheme="minorEastAsia" w:hAnsiTheme="minorEastAsia"/>
                <w:sz w:val="24"/>
              </w:rPr>
            </w:pPr>
          </w:p>
        </w:tc>
        <w:tc>
          <w:tcPr>
            <w:tcW w:w="2693" w:type="dxa"/>
            <w:vAlign w:val="center"/>
          </w:tcPr>
          <w:p w14:paraId="0A21A9BD">
            <w:pPr>
              <w:tabs>
                <w:tab w:val="left" w:pos="329"/>
              </w:tabs>
              <w:spacing w:line="360" w:lineRule="auto"/>
              <w:jc w:val="center"/>
              <w:rPr>
                <w:rFonts w:asciiTheme="minorEastAsia" w:hAnsiTheme="minorEastAsia"/>
                <w:sz w:val="24"/>
              </w:rPr>
            </w:pPr>
            <w:r>
              <w:rPr>
                <w:rFonts w:hint="eastAsia" w:asciiTheme="minorEastAsia" w:hAnsiTheme="minorEastAsia"/>
                <w:sz w:val="24"/>
              </w:rPr>
              <w:t>通行兼休憩</w:t>
            </w:r>
          </w:p>
        </w:tc>
        <w:tc>
          <w:tcPr>
            <w:tcW w:w="2631" w:type="dxa"/>
            <w:vAlign w:val="center"/>
          </w:tcPr>
          <w:p w14:paraId="1AD88F12">
            <w:pPr>
              <w:tabs>
                <w:tab w:val="left" w:pos="329"/>
              </w:tabs>
              <w:spacing w:line="360" w:lineRule="auto"/>
              <w:jc w:val="center"/>
              <w:rPr>
                <w:rFonts w:asciiTheme="minorEastAsia" w:hAnsiTheme="minorEastAsia"/>
                <w:sz w:val="24"/>
              </w:rPr>
            </w:pPr>
            <w:r>
              <w:rPr>
                <w:rFonts w:hint="eastAsia" w:asciiTheme="minorEastAsia" w:hAnsiTheme="minorEastAsia"/>
                <w:sz w:val="24"/>
              </w:rPr>
              <w:t>步行、休憩</w:t>
            </w:r>
          </w:p>
        </w:tc>
      </w:tr>
      <w:tr w14:paraId="25AB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center"/>
          </w:tcPr>
          <w:p w14:paraId="1BC04F61">
            <w:pPr>
              <w:tabs>
                <w:tab w:val="left" w:pos="329"/>
              </w:tabs>
              <w:spacing w:line="360" w:lineRule="auto"/>
              <w:jc w:val="center"/>
              <w:rPr>
                <w:rFonts w:asciiTheme="minorEastAsia" w:hAnsiTheme="minorEastAsia"/>
                <w:sz w:val="24"/>
              </w:rPr>
            </w:pPr>
          </w:p>
        </w:tc>
        <w:tc>
          <w:tcPr>
            <w:tcW w:w="2126" w:type="dxa"/>
            <w:vAlign w:val="center"/>
          </w:tcPr>
          <w:p w14:paraId="2AC26A51">
            <w:pPr>
              <w:tabs>
                <w:tab w:val="left" w:pos="329"/>
              </w:tabs>
              <w:spacing w:line="360" w:lineRule="auto"/>
              <w:jc w:val="center"/>
              <w:rPr>
                <w:rFonts w:asciiTheme="minorEastAsia" w:hAnsiTheme="minorEastAsia"/>
                <w:sz w:val="24"/>
              </w:rPr>
            </w:pPr>
            <w:r>
              <w:rPr>
                <w:rFonts w:hint="eastAsia" w:asciiTheme="minorEastAsia" w:hAnsiTheme="minorEastAsia"/>
                <w:sz w:val="24"/>
              </w:rPr>
              <w:t>交通转换节点</w:t>
            </w:r>
          </w:p>
        </w:tc>
        <w:tc>
          <w:tcPr>
            <w:tcW w:w="2693" w:type="dxa"/>
            <w:vAlign w:val="center"/>
          </w:tcPr>
          <w:p w14:paraId="16382460">
            <w:pPr>
              <w:tabs>
                <w:tab w:val="left" w:pos="329"/>
              </w:tabs>
              <w:spacing w:line="360" w:lineRule="auto"/>
              <w:jc w:val="center"/>
              <w:rPr>
                <w:rFonts w:asciiTheme="minorEastAsia" w:hAnsiTheme="minorEastAsia"/>
                <w:sz w:val="24"/>
              </w:rPr>
            </w:pPr>
            <w:r>
              <w:rPr>
                <w:rFonts w:hint="eastAsia" w:asciiTheme="minorEastAsia" w:hAnsiTheme="minorEastAsia"/>
                <w:sz w:val="24"/>
              </w:rPr>
              <w:t>通行</w:t>
            </w:r>
          </w:p>
        </w:tc>
        <w:tc>
          <w:tcPr>
            <w:tcW w:w="2631" w:type="dxa"/>
            <w:vAlign w:val="center"/>
          </w:tcPr>
          <w:p w14:paraId="518EFFF9">
            <w:pPr>
              <w:tabs>
                <w:tab w:val="left" w:pos="329"/>
              </w:tabs>
              <w:spacing w:line="360" w:lineRule="auto"/>
              <w:jc w:val="center"/>
              <w:rPr>
                <w:rFonts w:asciiTheme="minorEastAsia" w:hAnsiTheme="minorEastAsia"/>
                <w:sz w:val="24"/>
              </w:rPr>
            </w:pPr>
            <w:r>
              <w:rPr>
                <w:rFonts w:hint="eastAsia" w:asciiTheme="minorEastAsia" w:hAnsiTheme="minorEastAsia"/>
                <w:sz w:val="24"/>
              </w:rPr>
              <w:t>步行</w:t>
            </w:r>
          </w:p>
        </w:tc>
      </w:tr>
      <w:tr w14:paraId="5320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gridSpan w:val="2"/>
            <w:vMerge w:val="restart"/>
            <w:vAlign w:val="center"/>
          </w:tcPr>
          <w:p w14:paraId="2657E273">
            <w:pPr>
              <w:tabs>
                <w:tab w:val="left" w:pos="329"/>
              </w:tabs>
              <w:spacing w:line="360" w:lineRule="auto"/>
              <w:jc w:val="center"/>
              <w:rPr>
                <w:rFonts w:asciiTheme="minorEastAsia" w:hAnsiTheme="minorEastAsia"/>
                <w:sz w:val="24"/>
              </w:rPr>
            </w:pPr>
            <w:r>
              <w:rPr>
                <w:rFonts w:hint="eastAsia" w:asciiTheme="minorEastAsia" w:hAnsiTheme="minorEastAsia"/>
                <w:sz w:val="24"/>
              </w:rPr>
              <w:t>下沉式广场</w:t>
            </w:r>
          </w:p>
        </w:tc>
        <w:tc>
          <w:tcPr>
            <w:tcW w:w="2693" w:type="dxa"/>
            <w:vAlign w:val="center"/>
          </w:tcPr>
          <w:p w14:paraId="049FE0A6">
            <w:pPr>
              <w:tabs>
                <w:tab w:val="left" w:pos="329"/>
              </w:tabs>
              <w:spacing w:line="360" w:lineRule="auto"/>
              <w:jc w:val="center"/>
              <w:rPr>
                <w:rFonts w:asciiTheme="minorEastAsia" w:hAnsiTheme="minorEastAsia"/>
                <w:sz w:val="24"/>
              </w:rPr>
            </w:pPr>
            <w:r>
              <w:rPr>
                <w:rFonts w:hint="eastAsia" w:asciiTheme="minorEastAsia" w:hAnsiTheme="minorEastAsia"/>
                <w:sz w:val="24"/>
              </w:rPr>
              <w:t>通行</w:t>
            </w:r>
          </w:p>
        </w:tc>
        <w:tc>
          <w:tcPr>
            <w:tcW w:w="2631" w:type="dxa"/>
            <w:vAlign w:val="center"/>
          </w:tcPr>
          <w:p w14:paraId="4BB3D8D7">
            <w:pPr>
              <w:tabs>
                <w:tab w:val="left" w:pos="329"/>
              </w:tabs>
              <w:spacing w:line="360" w:lineRule="auto"/>
              <w:jc w:val="center"/>
              <w:rPr>
                <w:rFonts w:asciiTheme="minorEastAsia" w:hAnsiTheme="minorEastAsia"/>
                <w:sz w:val="24"/>
              </w:rPr>
            </w:pPr>
            <w:r>
              <w:rPr>
                <w:rFonts w:hint="eastAsia" w:asciiTheme="minorEastAsia" w:hAnsiTheme="minorEastAsia"/>
                <w:sz w:val="24"/>
              </w:rPr>
              <w:t>步行</w:t>
            </w:r>
          </w:p>
        </w:tc>
      </w:tr>
      <w:tr w14:paraId="207B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gridSpan w:val="2"/>
            <w:vMerge w:val="continue"/>
            <w:vAlign w:val="center"/>
          </w:tcPr>
          <w:p w14:paraId="60611C59">
            <w:pPr>
              <w:tabs>
                <w:tab w:val="left" w:pos="329"/>
              </w:tabs>
              <w:spacing w:line="360" w:lineRule="auto"/>
              <w:jc w:val="center"/>
              <w:rPr>
                <w:rFonts w:asciiTheme="minorEastAsia" w:hAnsiTheme="minorEastAsia"/>
                <w:sz w:val="24"/>
              </w:rPr>
            </w:pPr>
          </w:p>
        </w:tc>
        <w:tc>
          <w:tcPr>
            <w:tcW w:w="2693" w:type="dxa"/>
            <w:vAlign w:val="center"/>
          </w:tcPr>
          <w:p w14:paraId="6F6FB480">
            <w:pPr>
              <w:tabs>
                <w:tab w:val="left" w:pos="329"/>
              </w:tabs>
              <w:spacing w:line="360" w:lineRule="auto"/>
              <w:jc w:val="center"/>
              <w:rPr>
                <w:rFonts w:asciiTheme="minorEastAsia" w:hAnsiTheme="minorEastAsia"/>
                <w:sz w:val="24"/>
              </w:rPr>
            </w:pPr>
            <w:r>
              <w:rPr>
                <w:rFonts w:hint="eastAsia" w:asciiTheme="minorEastAsia" w:hAnsiTheme="minorEastAsia"/>
                <w:sz w:val="24"/>
              </w:rPr>
              <w:t>出入口集散</w:t>
            </w:r>
          </w:p>
        </w:tc>
        <w:tc>
          <w:tcPr>
            <w:tcW w:w="2631" w:type="dxa"/>
            <w:vAlign w:val="center"/>
          </w:tcPr>
          <w:p w14:paraId="7BF31963">
            <w:pPr>
              <w:tabs>
                <w:tab w:val="left" w:pos="329"/>
              </w:tabs>
              <w:spacing w:line="360" w:lineRule="auto"/>
              <w:jc w:val="center"/>
              <w:rPr>
                <w:rFonts w:asciiTheme="minorEastAsia" w:hAnsiTheme="minorEastAsia"/>
                <w:sz w:val="24"/>
              </w:rPr>
            </w:pPr>
            <w:r>
              <w:rPr>
                <w:rFonts w:hint="eastAsia" w:asciiTheme="minorEastAsia" w:hAnsiTheme="minorEastAsia"/>
                <w:sz w:val="24"/>
              </w:rPr>
              <w:t>步行</w:t>
            </w:r>
          </w:p>
        </w:tc>
      </w:tr>
      <w:tr w14:paraId="42FB0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gridSpan w:val="2"/>
            <w:vMerge w:val="continue"/>
            <w:vAlign w:val="center"/>
          </w:tcPr>
          <w:p w14:paraId="13D44466">
            <w:pPr>
              <w:tabs>
                <w:tab w:val="left" w:pos="329"/>
              </w:tabs>
              <w:spacing w:line="360" w:lineRule="auto"/>
              <w:jc w:val="center"/>
              <w:rPr>
                <w:rFonts w:asciiTheme="minorEastAsia" w:hAnsiTheme="minorEastAsia"/>
                <w:sz w:val="24"/>
              </w:rPr>
            </w:pPr>
          </w:p>
        </w:tc>
        <w:tc>
          <w:tcPr>
            <w:tcW w:w="2693" w:type="dxa"/>
            <w:vAlign w:val="center"/>
          </w:tcPr>
          <w:p w14:paraId="60806F2C">
            <w:pPr>
              <w:tabs>
                <w:tab w:val="left" w:pos="329"/>
              </w:tabs>
              <w:spacing w:line="360" w:lineRule="auto"/>
              <w:jc w:val="center"/>
              <w:rPr>
                <w:rFonts w:asciiTheme="minorEastAsia" w:hAnsiTheme="minorEastAsia"/>
                <w:sz w:val="24"/>
              </w:rPr>
            </w:pPr>
            <w:r>
              <w:rPr>
                <w:rFonts w:hint="eastAsia" w:asciiTheme="minorEastAsia" w:hAnsiTheme="minorEastAsia"/>
                <w:sz w:val="24"/>
              </w:rPr>
              <w:t>通行兼休憩</w:t>
            </w:r>
          </w:p>
        </w:tc>
        <w:tc>
          <w:tcPr>
            <w:tcW w:w="2631" w:type="dxa"/>
            <w:vAlign w:val="center"/>
          </w:tcPr>
          <w:p w14:paraId="7A6D183E">
            <w:pPr>
              <w:tabs>
                <w:tab w:val="left" w:pos="329"/>
              </w:tabs>
              <w:spacing w:line="360" w:lineRule="auto"/>
              <w:jc w:val="center"/>
              <w:rPr>
                <w:rFonts w:asciiTheme="minorEastAsia" w:hAnsiTheme="minorEastAsia"/>
                <w:sz w:val="24"/>
              </w:rPr>
            </w:pPr>
            <w:r>
              <w:rPr>
                <w:rFonts w:hint="eastAsia" w:asciiTheme="minorEastAsia" w:hAnsiTheme="minorEastAsia"/>
                <w:sz w:val="24"/>
              </w:rPr>
              <w:t>步行、休憩</w:t>
            </w:r>
          </w:p>
        </w:tc>
      </w:tr>
      <w:tr w14:paraId="36A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gridSpan w:val="2"/>
            <w:vMerge w:val="restart"/>
            <w:vAlign w:val="center"/>
          </w:tcPr>
          <w:p w14:paraId="3D4DAB36">
            <w:pPr>
              <w:tabs>
                <w:tab w:val="left" w:pos="329"/>
              </w:tabs>
              <w:spacing w:line="360" w:lineRule="auto"/>
              <w:jc w:val="center"/>
              <w:rPr>
                <w:rFonts w:asciiTheme="minorEastAsia" w:hAnsiTheme="minorEastAsia"/>
                <w:sz w:val="24"/>
              </w:rPr>
            </w:pPr>
            <w:r>
              <w:rPr>
                <w:rFonts w:hint="eastAsia" w:asciiTheme="minorEastAsia" w:hAnsiTheme="minorEastAsia"/>
                <w:sz w:val="24"/>
              </w:rPr>
              <w:t>地下中庭</w:t>
            </w:r>
          </w:p>
        </w:tc>
        <w:tc>
          <w:tcPr>
            <w:tcW w:w="2693" w:type="dxa"/>
            <w:vAlign w:val="center"/>
          </w:tcPr>
          <w:p w14:paraId="7FCD6BA6">
            <w:pPr>
              <w:tabs>
                <w:tab w:val="left" w:pos="329"/>
              </w:tabs>
              <w:spacing w:line="360" w:lineRule="auto"/>
              <w:jc w:val="center"/>
              <w:rPr>
                <w:rFonts w:asciiTheme="minorEastAsia" w:hAnsiTheme="minorEastAsia"/>
                <w:sz w:val="24"/>
              </w:rPr>
            </w:pPr>
            <w:r>
              <w:rPr>
                <w:rFonts w:hint="eastAsia" w:asciiTheme="minorEastAsia" w:hAnsiTheme="minorEastAsia"/>
                <w:sz w:val="24"/>
              </w:rPr>
              <w:t>通行</w:t>
            </w:r>
          </w:p>
        </w:tc>
        <w:tc>
          <w:tcPr>
            <w:tcW w:w="2631" w:type="dxa"/>
            <w:vAlign w:val="center"/>
          </w:tcPr>
          <w:p w14:paraId="6000E356">
            <w:pPr>
              <w:tabs>
                <w:tab w:val="left" w:pos="329"/>
              </w:tabs>
              <w:spacing w:line="360" w:lineRule="auto"/>
              <w:jc w:val="center"/>
              <w:rPr>
                <w:rFonts w:asciiTheme="minorEastAsia" w:hAnsiTheme="minorEastAsia"/>
                <w:sz w:val="24"/>
              </w:rPr>
            </w:pPr>
            <w:r>
              <w:rPr>
                <w:rFonts w:hint="eastAsia" w:asciiTheme="minorEastAsia" w:hAnsiTheme="minorEastAsia"/>
                <w:sz w:val="24"/>
              </w:rPr>
              <w:t>步行</w:t>
            </w:r>
          </w:p>
        </w:tc>
      </w:tr>
      <w:tr w14:paraId="4AB0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gridSpan w:val="2"/>
            <w:vMerge w:val="continue"/>
            <w:vAlign w:val="center"/>
          </w:tcPr>
          <w:p w14:paraId="178B4D43">
            <w:pPr>
              <w:tabs>
                <w:tab w:val="left" w:pos="329"/>
              </w:tabs>
              <w:spacing w:line="360" w:lineRule="auto"/>
              <w:jc w:val="center"/>
              <w:rPr>
                <w:rFonts w:asciiTheme="minorEastAsia" w:hAnsiTheme="minorEastAsia"/>
                <w:sz w:val="24"/>
              </w:rPr>
            </w:pPr>
          </w:p>
        </w:tc>
        <w:tc>
          <w:tcPr>
            <w:tcW w:w="2693" w:type="dxa"/>
            <w:vAlign w:val="center"/>
          </w:tcPr>
          <w:p w14:paraId="5E467268">
            <w:pPr>
              <w:tabs>
                <w:tab w:val="left" w:pos="329"/>
              </w:tabs>
              <w:spacing w:line="360" w:lineRule="auto"/>
              <w:jc w:val="center"/>
              <w:rPr>
                <w:rFonts w:asciiTheme="minorEastAsia" w:hAnsiTheme="minorEastAsia"/>
                <w:sz w:val="24"/>
              </w:rPr>
            </w:pPr>
            <w:r>
              <w:rPr>
                <w:rFonts w:hint="eastAsia" w:asciiTheme="minorEastAsia" w:hAnsiTheme="minorEastAsia"/>
                <w:sz w:val="24"/>
              </w:rPr>
              <w:t>通行兼休憩</w:t>
            </w:r>
          </w:p>
        </w:tc>
        <w:tc>
          <w:tcPr>
            <w:tcW w:w="2631" w:type="dxa"/>
            <w:vAlign w:val="center"/>
          </w:tcPr>
          <w:p w14:paraId="6B7C8AC2">
            <w:pPr>
              <w:tabs>
                <w:tab w:val="left" w:pos="329"/>
              </w:tabs>
              <w:spacing w:line="360" w:lineRule="auto"/>
              <w:jc w:val="center"/>
              <w:rPr>
                <w:rFonts w:asciiTheme="minorEastAsia" w:hAnsiTheme="minorEastAsia"/>
                <w:sz w:val="24"/>
              </w:rPr>
            </w:pPr>
            <w:r>
              <w:rPr>
                <w:rFonts w:hint="eastAsia" w:asciiTheme="minorEastAsia" w:hAnsiTheme="minorEastAsia"/>
                <w:sz w:val="24"/>
              </w:rPr>
              <w:t>步行、休憩</w:t>
            </w:r>
          </w:p>
        </w:tc>
      </w:tr>
      <w:tr w14:paraId="24BF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gridSpan w:val="2"/>
            <w:vMerge w:val="continue"/>
            <w:vAlign w:val="center"/>
          </w:tcPr>
          <w:p w14:paraId="1D06B09D">
            <w:pPr>
              <w:tabs>
                <w:tab w:val="left" w:pos="329"/>
              </w:tabs>
              <w:spacing w:line="360" w:lineRule="auto"/>
              <w:jc w:val="center"/>
              <w:rPr>
                <w:rFonts w:asciiTheme="minorEastAsia" w:hAnsiTheme="minorEastAsia"/>
                <w:sz w:val="24"/>
              </w:rPr>
            </w:pPr>
          </w:p>
        </w:tc>
        <w:tc>
          <w:tcPr>
            <w:tcW w:w="2693" w:type="dxa"/>
            <w:vAlign w:val="center"/>
          </w:tcPr>
          <w:p w14:paraId="634F2052">
            <w:pPr>
              <w:tabs>
                <w:tab w:val="left" w:pos="329"/>
              </w:tabs>
              <w:spacing w:line="360" w:lineRule="auto"/>
              <w:jc w:val="center"/>
              <w:rPr>
                <w:rFonts w:asciiTheme="minorEastAsia" w:hAnsiTheme="minorEastAsia"/>
                <w:sz w:val="24"/>
              </w:rPr>
            </w:pPr>
            <w:r>
              <w:rPr>
                <w:rFonts w:hint="eastAsia" w:asciiTheme="minorEastAsia" w:hAnsiTheme="minorEastAsia"/>
                <w:sz w:val="24"/>
              </w:rPr>
              <w:t>通行兼商业</w:t>
            </w:r>
          </w:p>
        </w:tc>
        <w:tc>
          <w:tcPr>
            <w:tcW w:w="2631" w:type="dxa"/>
            <w:vAlign w:val="center"/>
          </w:tcPr>
          <w:p w14:paraId="6B045F9F">
            <w:pPr>
              <w:tabs>
                <w:tab w:val="left" w:pos="329"/>
              </w:tabs>
              <w:spacing w:line="360" w:lineRule="auto"/>
              <w:jc w:val="center"/>
              <w:rPr>
                <w:rFonts w:asciiTheme="minorEastAsia" w:hAnsiTheme="minorEastAsia"/>
                <w:sz w:val="24"/>
              </w:rPr>
            </w:pPr>
            <w:r>
              <w:rPr>
                <w:rFonts w:hint="eastAsia" w:asciiTheme="minorEastAsia" w:hAnsiTheme="minorEastAsia"/>
                <w:sz w:val="24"/>
              </w:rPr>
              <w:t>步行、休憩、购物</w:t>
            </w:r>
          </w:p>
        </w:tc>
      </w:tr>
    </w:tbl>
    <w:p w14:paraId="2091CEFF">
      <w:pPr>
        <w:tabs>
          <w:tab w:val="left" w:pos="329"/>
        </w:tabs>
        <w:spacing w:line="360" w:lineRule="auto"/>
        <w:jc w:val="center"/>
        <w:rPr>
          <w:rFonts w:asciiTheme="minorEastAsia" w:hAnsiTheme="minorEastAsia"/>
          <w:sz w:val="24"/>
        </w:rPr>
      </w:pPr>
    </w:p>
    <w:p w14:paraId="0178CF73">
      <w:pPr>
        <w:tabs>
          <w:tab w:val="left" w:pos="329"/>
        </w:tabs>
        <w:spacing w:line="360" w:lineRule="auto"/>
        <w:rPr>
          <w:rFonts w:asciiTheme="minorEastAsia" w:hAnsiTheme="minorEastAsia"/>
          <w:sz w:val="24"/>
        </w:rPr>
      </w:pPr>
    </w:p>
    <w:p w14:paraId="00CEC8B8">
      <w:pPr>
        <w:tabs>
          <w:tab w:val="left" w:pos="329"/>
        </w:tabs>
        <w:spacing w:line="360" w:lineRule="auto"/>
        <w:rPr>
          <w:rFonts w:asciiTheme="minorEastAsia" w:hAnsiTheme="minorEastAsia"/>
          <w:sz w:val="24"/>
        </w:rPr>
      </w:pPr>
      <w:r>
        <w:rPr>
          <w:rFonts w:hint="eastAsia" w:asciiTheme="minorEastAsia" w:hAnsiTheme="minorEastAsia"/>
          <w:sz w:val="24"/>
        </w:rPr>
        <w:t>4</w:t>
      </w:r>
      <w:r>
        <w:rPr>
          <w:rFonts w:asciiTheme="minorEastAsia" w:hAnsiTheme="minorEastAsia"/>
          <w:sz w:val="24"/>
        </w:rPr>
        <w:t xml:space="preserve">.3.5 </w:t>
      </w:r>
      <w:r>
        <w:rPr>
          <w:rFonts w:hint="eastAsia" w:asciiTheme="minorEastAsia" w:hAnsiTheme="minorEastAsia"/>
          <w:sz w:val="24"/>
        </w:rPr>
        <w:t>根据区域功能和人在地下空间的活动需求，可将重点区域的地下公共连通空间组织模式分成单功能点状空间组织模式、单功能带状空间组织模式、多功能树枝状空间组织模式和多功能网络状空间组织模式。</w:t>
      </w:r>
    </w:p>
    <w:p w14:paraId="7487790B">
      <w:pPr>
        <w:spacing w:line="360" w:lineRule="auto"/>
        <w:jc w:val="center"/>
        <w:rPr>
          <w:rFonts w:asciiTheme="minorEastAsia" w:hAnsiTheme="minorEastAsia"/>
          <w:sz w:val="24"/>
        </w:rPr>
      </w:pPr>
      <w:bookmarkStart w:id="14" w:name="_Toc3434"/>
    </w:p>
    <w:p w14:paraId="7ED497CC">
      <w:pPr>
        <w:spacing w:line="360" w:lineRule="auto"/>
        <w:jc w:val="center"/>
        <w:rPr>
          <w:rFonts w:asciiTheme="minorEastAsia" w:hAnsiTheme="minorEastAsia"/>
          <w:sz w:val="24"/>
        </w:rPr>
      </w:pPr>
      <w:r>
        <w:rPr>
          <w:rFonts w:hint="eastAsia" w:asciiTheme="minorEastAsia" w:hAnsiTheme="minorEastAsia"/>
          <w:sz w:val="24"/>
        </w:rPr>
        <w:drawing>
          <wp:inline distT="0" distB="0" distL="114300" distR="114300">
            <wp:extent cx="5409565" cy="5610225"/>
            <wp:effectExtent l="0" t="0" r="635" b="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7"/>
                    <a:srcRect b="8701"/>
                    <a:stretch>
                      <a:fillRect/>
                    </a:stretch>
                  </pic:blipFill>
                  <pic:spPr>
                    <a:xfrm>
                      <a:off x="0" y="0"/>
                      <a:ext cx="5452878" cy="5654856"/>
                    </a:xfrm>
                    <a:prstGeom prst="rect">
                      <a:avLst/>
                    </a:prstGeom>
                    <a:noFill/>
                    <a:ln>
                      <a:noFill/>
                    </a:ln>
                  </pic:spPr>
                </pic:pic>
              </a:graphicData>
            </a:graphic>
          </wp:inline>
        </w:drawing>
      </w:r>
      <w:bookmarkEnd w:id="14"/>
    </w:p>
    <w:p w14:paraId="6300A215">
      <w:pPr>
        <w:spacing w:line="360" w:lineRule="auto"/>
        <w:ind w:firstLine="420" w:firstLineChars="200"/>
        <w:rPr>
          <w:rFonts w:asciiTheme="minorEastAsia" w:hAnsiTheme="minorEastAsia"/>
          <w:szCs w:val="21"/>
        </w:rPr>
      </w:pPr>
      <w:r>
        <w:rPr>
          <w:rFonts w:hint="eastAsia" w:asciiTheme="minorEastAsia" w:hAnsiTheme="minorEastAsia"/>
          <w:szCs w:val="21"/>
        </w:rPr>
        <w:t>图例：</w:t>
      </w:r>
    </w:p>
    <w:p w14:paraId="4E309457">
      <w:pPr>
        <w:spacing w:line="360" w:lineRule="auto"/>
        <w:ind w:firstLine="420" w:firstLineChars="200"/>
        <w:rPr>
          <w:rFonts w:asciiTheme="minorEastAsia" w:hAnsiTheme="minorEastAsia"/>
          <w:szCs w:val="21"/>
        </w:rPr>
      </w:pPr>
      <w:r>
        <w:rPr>
          <w:rFonts w:hint="eastAsia" w:asciiTheme="minorEastAsia" w:hAnsiTheme="minorEastAsia"/>
          <w:szCs w:val="21"/>
        </w:rPr>
        <w:t xml:space="preserve">M：轨道交通站点 </w:t>
      </w:r>
      <w:r>
        <w:rPr>
          <w:rFonts w:asciiTheme="minorEastAsia" w:hAnsiTheme="minorEastAsia"/>
          <w:szCs w:val="21"/>
        </w:rPr>
        <w:t xml:space="preserve">      C</w:t>
      </w:r>
      <w:r>
        <w:rPr>
          <w:rFonts w:hint="eastAsia" w:asciiTheme="minorEastAsia" w:hAnsiTheme="minorEastAsia"/>
          <w:szCs w:val="21"/>
        </w:rPr>
        <w:t xml:space="preserve">：商业服务设施 </w:t>
      </w:r>
      <w:r>
        <w:rPr>
          <w:rFonts w:asciiTheme="minorEastAsia" w:hAnsiTheme="minorEastAsia"/>
          <w:szCs w:val="21"/>
        </w:rPr>
        <w:t xml:space="preserve">      S</w:t>
      </w:r>
      <w:r>
        <w:rPr>
          <w:rFonts w:hint="eastAsia" w:asciiTheme="minorEastAsia" w:hAnsiTheme="minorEastAsia"/>
          <w:szCs w:val="21"/>
        </w:rPr>
        <w:t>：广场集散空间</w:t>
      </w:r>
    </w:p>
    <w:p w14:paraId="2BA1BCFA">
      <w:pPr>
        <w:spacing w:line="360" w:lineRule="auto"/>
        <w:ind w:firstLine="420" w:firstLineChars="200"/>
        <w:rPr>
          <w:rFonts w:asciiTheme="minorEastAsia" w:hAnsiTheme="minorEastAsia"/>
          <w:szCs w:val="21"/>
        </w:rPr>
      </w:pPr>
      <w:r>
        <w:rPr>
          <w:rFonts w:asciiTheme="minorEastAsia" w:hAnsiTheme="minorEastAsia"/>
          <w:szCs w:val="21"/>
        </w:rPr>
        <w:t>T</w:t>
      </w:r>
      <w:r>
        <w:rPr>
          <w:rFonts w:hint="eastAsia" w:asciiTheme="minorEastAsia" w:hAnsiTheme="minorEastAsia"/>
          <w:szCs w:val="21"/>
        </w:rPr>
        <w:t xml:space="preserve">：交通枢纽 </w:t>
      </w:r>
      <w:r>
        <w:rPr>
          <w:rFonts w:asciiTheme="minorEastAsia" w:hAnsiTheme="minorEastAsia"/>
          <w:szCs w:val="21"/>
        </w:rPr>
        <w:t xml:space="preserve">          A</w:t>
      </w:r>
      <w:r>
        <w:rPr>
          <w:rFonts w:hint="eastAsia" w:asciiTheme="minorEastAsia" w:hAnsiTheme="minorEastAsia"/>
          <w:szCs w:val="21"/>
        </w:rPr>
        <w:t xml:space="preserve">：公共服务设施 </w:t>
      </w:r>
      <w:r>
        <w:rPr>
          <w:rFonts w:asciiTheme="minorEastAsia" w:hAnsiTheme="minorEastAsia"/>
          <w:szCs w:val="21"/>
        </w:rPr>
        <w:t xml:space="preserve">      P</w:t>
      </w:r>
      <w:r>
        <w:rPr>
          <w:rFonts w:hint="eastAsia" w:asciiTheme="minorEastAsia" w:hAnsiTheme="minorEastAsia"/>
          <w:szCs w:val="21"/>
        </w:rPr>
        <w:t>：公共停车场</w:t>
      </w:r>
    </w:p>
    <w:p w14:paraId="14EB7098">
      <w:pPr>
        <w:spacing w:line="360" w:lineRule="auto"/>
        <w:ind w:firstLine="420" w:firstLineChars="200"/>
        <w:rPr>
          <w:rFonts w:asciiTheme="minorEastAsia" w:hAnsiTheme="minorEastAsia"/>
          <w:szCs w:val="21"/>
        </w:rPr>
      </w:pPr>
    </w:p>
    <w:p w14:paraId="1F0A1A40">
      <w:pPr>
        <w:widowControl/>
        <w:jc w:val="left"/>
        <w:rPr>
          <w:rFonts w:asciiTheme="minorEastAsia" w:hAnsiTheme="minorEastAsia"/>
          <w:sz w:val="24"/>
        </w:rPr>
      </w:pPr>
      <w:r>
        <w:rPr>
          <w:rFonts w:asciiTheme="minorEastAsia" w:hAnsiTheme="minorEastAsia"/>
          <w:sz w:val="24"/>
        </w:rPr>
        <w:br w:type="page"/>
      </w:r>
    </w:p>
    <w:p w14:paraId="191817E3">
      <w:pPr>
        <w:spacing w:line="360" w:lineRule="auto"/>
        <w:jc w:val="center"/>
        <w:outlineLvl w:val="0"/>
        <w:rPr>
          <w:rFonts w:ascii="黑体" w:hAnsi="黑体" w:eastAsia="黑体"/>
          <w:b/>
          <w:bCs/>
          <w:sz w:val="28"/>
          <w:szCs w:val="36"/>
        </w:rPr>
      </w:pPr>
      <w:bookmarkStart w:id="15" w:name="_Toc190693032"/>
      <w:r>
        <w:rPr>
          <w:rFonts w:hint="eastAsia" w:ascii="黑体" w:hAnsi="黑体" w:eastAsia="黑体"/>
          <w:b/>
          <w:bCs/>
          <w:sz w:val="28"/>
          <w:szCs w:val="36"/>
        </w:rPr>
        <w:t>5 专项设计指引</w:t>
      </w:r>
      <w:bookmarkEnd w:id="15"/>
    </w:p>
    <w:p w14:paraId="6C74F5BB">
      <w:pPr>
        <w:spacing w:line="360" w:lineRule="auto"/>
        <w:ind w:firstLine="480" w:firstLineChars="200"/>
        <w:rPr>
          <w:rFonts w:asciiTheme="minorEastAsia" w:hAnsiTheme="minorEastAsia"/>
          <w:sz w:val="24"/>
        </w:rPr>
      </w:pPr>
    </w:p>
    <w:p w14:paraId="07C575B2">
      <w:pPr>
        <w:spacing w:line="360" w:lineRule="auto"/>
        <w:jc w:val="center"/>
        <w:outlineLvl w:val="1"/>
        <w:rPr>
          <w:rFonts w:ascii="黑体" w:hAnsi="黑体" w:eastAsia="黑体"/>
          <w:b/>
          <w:bCs/>
          <w:sz w:val="24"/>
        </w:rPr>
      </w:pPr>
      <w:bookmarkStart w:id="16" w:name="_Toc190693033"/>
      <w:r>
        <w:rPr>
          <w:rFonts w:hint="eastAsia" w:ascii="黑体" w:hAnsi="黑体" w:eastAsia="黑体"/>
          <w:b/>
          <w:bCs/>
          <w:sz w:val="24"/>
        </w:rPr>
        <w:t>5.1 设计通用要求</w:t>
      </w:r>
      <w:bookmarkEnd w:id="16"/>
    </w:p>
    <w:p w14:paraId="01E21861"/>
    <w:p w14:paraId="118CE917">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 xml:space="preserve">.1.1 </w:t>
      </w:r>
      <w:r>
        <w:rPr>
          <w:rFonts w:hint="eastAsia" w:asciiTheme="minorEastAsia" w:hAnsiTheme="minorEastAsia"/>
          <w:sz w:val="24"/>
        </w:rPr>
        <w:t>重点区域范围内的地下公共空间应进行整体规划设计，鼓励地下连通空间与商业综合体、大型公建、交通枢纽、广场绿地等公共设施结合建设，若分期建设时，应充分预留与未来其它地下设施连接的可行性。</w:t>
      </w:r>
    </w:p>
    <w:p w14:paraId="6B1FADED">
      <w:pPr>
        <w:spacing w:line="360" w:lineRule="auto"/>
        <w:rPr>
          <w:rFonts w:asciiTheme="minorEastAsia" w:hAnsiTheme="minorEastAsia"/>
          <w:sz w:val="24"/>
        </w:rPr>
      </w:pPr>
      <w:r>
        <w:rPr>
          <w:rFonts w:asciiTheme="minorEastAsia" w:hAnsiTheme="minorEastAsia"/>
          <w:sz w:val="24"/>
        </w:rPr>
        <w:t xml:space="preserve">5.1.2 </w:t>
      </w:r>
      <w:r>
        <w:rPr>
          <w:rFonts w:hint="eastAsia" w:asciiTheme="minorEastAsia" w:hAnsiTheme="minorEastAsia"/>
          <w:sz w:val="24"/>
        </w:rPr>
        <w:t>地下公共连通空间的平面布局应当简洁明了，不宜弯折过多，营造明确的空间导向，合理设计内部交通流线，保障人员通行安全、便利、快捷。</w:t>
      </w:r>
    </w:p>
    <w:p w14:paraId="6550AAAE">
      <w:pPr>
        <w:spacing w:line="360" w:lineRule="auto"/>
        <w:rPr>
          <w:rFonts w:asciiTheme="minorEastAsia" w:hAnsiTheme="minorEastAsia"/>
          <w:sz w:val="24"/>
        </w:rPr>
      </w:pPr>
      <w:r>
        <w:rPr>
          <w:rFonts w:asciiTheme="minorEastAsia" w:hAnsiTheme="minorEastAsia"/>
          <w:sz w:val="24"/>
        </w:rPr>
        <w:t xml:space="preserve">5.1.3 </w:t>
      </w:r>
      <w:r>
        <w:rPr>
          <w:rFonts w:hint="eastAsia" w:asciiTheme="minorEastAsia" w:hAnsiTheme="minorEastAsia"/>
          <w:sz w:val="24"/>
        </w:rPr>
        <w:t>地下公共连通空间的剖面设计应综合考虑沿线地形、地质、水文等条件并应充分协调地下管线以及与地铁区间段、地铁站等地下设施的关系。</w:t>
      </w:r>
    </w:p>
    <w:p w14:paraId="1EC490C4">
      <w:pPr>
        <w:spacing w:line="360" w:lineRule="auto"/>
        <w:rPr>
          <w:rFonts w:asciiTheme="minorEastAsia" w:hAnsiTheme="minorEastAsia"/>
          <w:sz w:val="24"/>
        </w:rPr>
      </w:pPr>
      <w:r>
        <w:rPr>
          <w:rFonts w:asciiTheme="minorEastAsia" w:hAnsiTheme="minorEastAsia"/>
          <w:sz w:val="24"/>
        </w:rPr>
        <w:t xml:space="preserve">5.1.4 </w:t>
      </w:r>
      <w:r>
        <w:rPr>
          <w:rFonts w:hint="eastAsia" w:asciiTheme="minorEastAsia" w:hAnsiTheme="minorEastAsia"/>
          <w:sz w:val="24"/>
        </w:rPr>
        <w:t>地下公共连通空间的装饰设计应遵循安全、美观、经济、实用的原则，应采用防火、防潮、防腐、耐久、耐冲击的材料，装饰物或广告装置不应干扰行人通行或应急疏散。</w:t>
      </w:r>
    </w:p>
    <w:p w14:paraId="4BAA2AA7">
      <w:pPr>
        <w:spacing w:line="360" w:lineRule="auto"/>
        <w:rPr>
          <w:rFonts w:asciiTheme="minorEastAsia" w:hAnsiTheme="minorEastAsia"/>
          <w:sz w:val="24"/>
        </w:rPr>
      </w:pPr>
      <w:r>
        <w:rPr>
          <w:rFonts w:asciiTheme="minorEastAsia" w:hAnsiTheme="minorEastAsia"/>
          <w:sz w:val="24"/>
        </w:rPr>
        <w:t xml:space="preserve">5.1.5 </w:t>
      </w:r>
      <w:r>
        <w:rPr>
          <w:rFonts w:hint="eastAsia" w:asciiTheme="minorEastAsia" w:hAnsiTheme="minorEastAsia"/>
          <w:sz w:val="24"/>
        </w:rPr>
        <w:t>地下公共连通空间内部环境应明亮舒适，在符合相关照明标准的基础上可充分利用自然光线，并适当引入自然绿化元素和景观小品，合理利用不同的色彩和装饰材质，增强空间的层次感和舒适度。</w:t>
      </w:r>
    </w:p>
    <w:p w14:paraId="480BA11F">
      <w:pPr>
        <w:spacing w:line="360" w:lineRule="auto"/>
        <w:rPr>
          <w:rFonts w:asciiTheme="minorEastAsia" w:hAnsiTheme="minorEastAsia"/>
          <w:sz w:val="24"/>
        </w:rPr>
      </w:pPr>
      <w:r>
        <w:rPr>
          <w:rFonts w:asciiTheme="minorEastAsia" w:hAnsiTheme="minorEastAsia"/>
          <w:sz w:val="24"/>
        </w:rPr>
        <w:t xml:space="preserve">5.1.6 </w:t>
      </w:r>
      <w:r>
        <w:rPr>
          <w:rFonts w:hint="eastAsia" w:asciiTheme="minorEastAsia" w:hAnsiTheme="minorEastAsia"/>
          <w:sz w:val="24"/>
        </w:rPr>
        <w:t>地下公共连通空间应设置完备并符合技术规范的标识系统，所有宣传性标识牌的设置应统一布置并严禁妨碍行人通行，应注意与周围环境协调一致。</w:t>
      </w:r>
    </w:p>
    <w:p w14:paraId="7F88E35F">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 xml:space="preserve">.1.7 </w:t>
      </w:r>
      <w:r>
        <w:rPr>
          <w:rFonts w:hint="eastAsia" w:asciiTheme="minorEastAsia" w:hAnsiTheme="minorEastAsia"/>
          <w:sz w:val="24"/>
        </w:rPr>
        <w:t>地下公共连通空间的安全疏散应首先考虑直通至地面，人员密集的大空间内应设置指向地铁车站或建筑出入口的导向标识，提高紧急状态的疏散效率，满足安全需求。</w:t>
      </w:r>
    </w:p>
    <w:p w14:paraId="76B6CC73">
      <w:pPr>
        <w:spacing w:line="360" w:lineRule="auto"/>
        <w:rPr>
          <w:rFonts w:asciiTheme="minorEastAsia" w:hAnsiTheme="minorEastAsia"/>
          <w:sz w:val="24"/>
        </w:rPr>
      </w:pPr>
      <w:r>
        <w:rPr>
          <w:rFonts w:asciiTheme="minorEastAsia" w:hAnsiTheme="minorEastAsia"/>
          <w:sz w:val="24"/>
        </w:rPr>
        <w:t xml:space="preserve">5.1.8 </w:t>
      </w:r>
      <w:r>
        <w:rPr>
          <w:rFonts w:hint="eastAsia" w:asciiTheme="minorEastAsia" w:hAnsiTheme="minorEastAsia"/>
          <w:sz w:val="24"/>
        </w:rPr>
        <w:t>地下公共连通空间的无障碍设施设计应符合现行国家标准，出入口和通道内严禁设置妨碍通行的障碍物，地面应平整、防滑、不积水。</w:t>
      </w:r>
    </w:p>
    <w:p w14:paraId="7650C668">
      <w:pPr>
        <w:spacing w:line="360" w:lineRule="auto"/>
        <w:rPr>
          <w:rFonts w:asciiTheme="minorEastAsia" w:hAnsiTheme="minorEastAsia"/>
          <w:sz w:val="24"/>
        </w:rPr>
      </w:pPr>
      <w:r>
        <w:rPr>
          <w:rFonts w:asciiTheme="minorEastAsia" w:hAnsiTheme="minorEastAsia"/>
          <w:sz w:val="24"/>
        </w:rPr>
        <w:t xml:space="preserve">5.1.9 </w:t>
      </w:r>
      <w:r>
        <w:rPr>
          <w:rFonts w:hint="eastAsia" w:asciiTheme="minorEastAsia" w:hAnsiTheme="minorEastAsia"/>
          <w:sz w:val="24"/>
        </w:rPr>
        <w:t>地下公共连通空间的设计应统筹安防监控系统、环境与设备控制系统、疏散与应急照明系统等智慧化设施，设计时应提出智慧化设备系统的基本配置标准、 安装数量、安装位置、信号控制等要求，并应符合各类设备现行的行业标准，视屏监控、BAS系统、FAS系统、电力运行监控等运行数据应共享至地下市政基础设施综合信息管理平台。</w:t>
      </w:r>
    </w:p>
    <w:p w14:paraId="09DABCB6">
      <w:pPr>
        <w:spacing w:line="360" w:lineRule="auto"/>
        <w:jc w:val="center"/>
        <w:outlineLvl w:val="1"/>
        <w:rPr>
          <w:rFonts w:ascii="黑体" w:hAnsi="黑体" w:eastAsia="黑体"/>
          <w:b/>
          <w:bCs/>
          <w:sz w:val="24"/>
        </w:rPr>
      </w:pPr>
      <w:bookmarkStart w:id="17" w:name="_Toc190693034"/>
      <w:r>
        <w:rPr>
          <w:rFonts w:hint="eastAsia" w:ascii="黑体" w:hAnsi="黑体" w:eastAsia="黑体"/>
          <w:b/>
          <w:bCs/>
          <w:sz w:val="24"/>
        </w:rPr>
        <w:t>5.</w:t>
      </w:r>
      <w:r>
        <w:rPr>
          <w:rFonts w:ascii="黑体" w:hAnsi="黑体" w:eastAsia="黑体"/>
          <w:b/>
          <w:bCs/>
          <w:sz w:val="24"/>
        </w:rPr>
        <w:t>2</w:t>
      </w:r>
      <w:r>
        <w:rPr>
          <w:rFonts w:hint="eastAsia" w:ascii="黑体" w:hAnsi="黑体" w:eastAsia="黑体"/>
          <w:b/>
          <w:bCs/>
          <w:sz w:val="24"/>
        </w:rPr>
        <w:t xml:space="preserve"> 地下连通通道设计</w:t>
      </w:r>
      <w:bookmarkEnd w:id="17"/>
    </w:p>
    <w:p w14:paraId="29858C77">
      <w:pPr>
        <w:spacing w:line="360" w:lineRule="auto"/>
        <w:rPr>
          <w:rFonts w:asciiTheme="minorEastAsia" w:hAnsiTheme="minorEastAsia"/>
          <w:sz w:val="24"/>
        </w:rPr>
      </w:pPr>
    </w:p>
    <w:p w14:paraId="01093C57">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2</w:t>
      </w:r>
      <w:r>
        <w:rPr>
          <w:rFonts w:hint="eastAsia" w:asciiTheme="minorEastAsia" w:hAnsiTheme="minorEastAsia"/>
          <w:sz w:val="24"/>
        </w:rPr>
        <w:t>.1 地下连通通道类型划分：根据其人流集散流通量可划分主通道和次通道两种类型。应根据地下连通通道在连通空间中的作用、周边用地开发建设情况和规划控制要求确定其具体类型。</w:t>
      </w:r>
    </w:p>
    <w:p w14:paraId="46E72A3E">
      <w:pPr>
        <w:spacing w:line="360" w:lineRule="auto"/>
        <w:ind w:firstLine="480" w:firstLineChars="200"/>
        <w:rPr>
          <w:rFonts w:asciiTheme="minorEastAsia" w:hAnsiTheme="minorEastAsia"/>
          <w:sz w:val="24"/>
        </w:rPr>
      </w:pPr>
      <w:r>
        <w:rPr>
          <w:rFonts w:hint="eastAsia" w:asciiTheme="minorEastAsia" w:hAnsiTheme="minorEastAsia"/>
          <w:sz w:val="24"/>
        </w:rPr>
        <w:t>1 主通道，承担轨道交通客流的换乘或各地块、空间、功能之间人行交通的主干功能。其应符合以下要求：</w:t>
      </w:r>
    </w:p>
    <w:p w14:paraId="01152843">
      <w:pPr>
        <w:spacing w:line="360" w:lineRule="auto"/>
        <w:ind w:firstLine="480" w:firstLineChars="200"/>
        <w:rPr>
          <w:rFonts w:asciiTheme="minorEastAsia" w:hAnsiTheme="minorEastAsia"/>
          <w:sz w:val="24"/>
        </w:rPr>
      </w:pPr>
      <w:r>
        <w:rPr>
          <w:rFonts w:hint="eastAsia" w:asciiTheme="minorEastAsia" w:hAnsiTheme="minorEastAsia"/>
          <w:sz w:val="24"/>
        </w:rPr>
        <w:t>（1）主通道路径须按照人流主要流向设置。</w:t>
      </w:r>
    </w:p>
    <w:p w14:paraId="3E011CC7">
      <w:pPr>
        <w:spacing w:line="360" w:lineRule="auto"/>
        <w:ind w:firstLine="480" w:firstLineChars="200"/>
        <w:rPr>
          <w:rFonts w:asciiTheme="minorEastAsia" w:hAnsiTheme="minorEastAsia"/>
          <w:sz w:val="24"/>
        </w:rPr>
      </w:pPr>
      <w:r>
        <w:rPr>
          <w:rFonts w:hint="eastAsia" w:asciiTheme="minorEastAsia" w:hAnsiTheme="minorEastAsia"/>
          <w:sz w:val="24"/>
        </w:rPr>
        <w:t>（2）主通道换乘部分应满足换乘时间的控制要求。</w:t>
      </w:r>
    </w:p>
    <w:p w14:paraId="202C3B8C">
      <w:pPr>
        <w:spacing w:line="360" w:lineRule="auto"/>
        <w:ind w:firstLine="480" w:firstLineChars="200"/>
        <w:rPr>
          <w:rFonts w:asciiTheme="minorEastAsia" w:hAnsiTheme="minorEastAsia"/>
          <w:sz w:val="24"/>
        </w:rPr>
      </w:pPr>
      <w:r>
        <w:rPr>
          <w:rFonts w:hint="eastAsia" w:asciiTheme="minorEastAsia" w:hAnsiTheme="minorEastAsia"/>
          <w:sz w:val="24"/>
        </w:rPr>
        <w:t>（3）规划区或规划区的某个区域已经具备各系统综合后的控制性方案，或已有实施方案，或涉及特别重要换乘流线的情况下可设置主通道。</w:t>
      </w:r>
    </w:p>
    <w:p w14:paraId="6D5EC96D">
      <w:pPr>
        <w:spacing w:line="360" w:lineRule="auto"/>
        <w:ind w:firstLine="480" w:firstLineChars="200"/>
        <w:rPr>
          <w:rFonts w:asciiTheme="minorEastAsia" w:hAnsiTheme="minorEastAsia"/>
          <w:sz w:val="24"/>
        </w:rPr>
      </w:pPr>
      <w:r>
        <w:rPr>
          <w:rFonts w:hint="eastAsia" w:asciiTheme="minorEastAsia" w:hAnsiTheme="minorEastAsia"/>
          <w:sz w:val="24"/>
        </w:rPr>
        <w:t>2 次通道，承担地下步行主通道换乘交通流与轨道车站周边功能联络作用的人行通道。如规划区或规划区内某个区域尚不具备准确的工程实施技术条件时，也可设置次通道。</w:t>
      </w:r>
    </w:p>
    <w:p w14:paraId="766319CD">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 xml:space="preserve">.2.2 </w:t>
      </w:r>
      <w:r>
        <w:rPr>
          <w:rFonts w:hint="eastAsia" w:asciiTheme="minorEastAsia" w:hAnsiTheme="minorEastAsia"/>
          <w:sz w:val="24"/>
        </w:rPr>
        <w:t>地下连通通道的平面设计应保证人员通行安全、集散迅速，通道布局应简单、短直，通道的弯折不宜过多，弯折角度不宜小于90度</w:t>
      </w:r>
    </w:p>
    <w:p w14:paraId="4069DAEA">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.2.3 地下</w:t>
      </w:r>
      <w:r>
        <w:rPr>
          <w:rFonts w:hint="eastAsia" w:asciiTheme="minorEastAsia" w:hAnsiTheme="minorEastAsia"/>
          <w:sz w:val="24"/>
        </w:rPr>
        <w:t>连通</w:t>
      </w:r>
      <w:r>
        <w:rPr>
          <w:rFonts w:asciiTheme="minorEastAsia" w:hAnsiTheme="minorEastAsia"/>
          <w:sz w:val="24"/>
        </w:rPr>
        <w:t>通道长度</w:t>
      </w:r>
      <w:r>
        <w:rPr>
          <w:rFonts w:hint="eastAsia" w:asciiTheme="minorEastAsia" w:hAnsiTheme="minorEastAsia"/>
          <w:sz w:val="24"/>
        </w:rPr>
        <w:t>应结合使用功能需求合理设计，不宜过长。</w:t>
      </w:r>
    </w:p>
    <w:p w14:paraId="7B36BBF4">
      <w:pPr>
        <w:spacing w:line="360" w:lineRule="auto"/>
        <w:ind w:firstLine="480" w:firstLineChars="200"/>
        <w:rPr>
          <w:rFonts w:asciiTheme="minorEastAsia" w:hAnsiTheme="minorEastAsia"/>
          <w:sz w:val="24"/>
        </w:rPr>
      </w:pPr>
      <w:r>
        <w:rPr>
          <w:rFonts w:asciiTheme="minorEastAsia" w:hAnsiTheme="minorEastAsia"/>
          <w:sz w:val="24"/>
        </w:rPr>
        <w:t>1</w:t>
      </w:r>
      <w:r>
        <w:rPr>
          <w:rFonts w:hint="eastAsia" w:asciiTheme="minorEastAsia" w:hAnsiTheme="minorEastAsia"/>
          <w:sz w:val="24"/>
        </w:rPr>
        <w:t xml:space="preserve"> </w:t>
      </w:r>
      <w:r>
        <w:rPr>
          <w:rFonts w:asciiTheme="minorEastAsia" w:hAnsiTheme="minorEastAsia"/>
          <w:sz w:val="24"/>
        </w:rPr>
        <w:t>地下</w:t>
      </w:r>
      <w:r>
        <w:rPr>
          <w:rFonts w:hint="eastAsia" w:asciiTheme="minorEastAsia" w:hAnsiTheme="minorEastAsia"/>
          <w:sz w:val="24"/>
        </w:rPr>
        <w:t>连通</w:t>
      </w:r>
      <w:r>
        <w:rPr>
          <w:rFonts w:asciiTheme="minorEastAsia" w:hAnsiTheme="minorEastAsia"/>
          <w:sz w:val="24"/>
        </w:rPr>
        <w:t>通道</w:t>
      </w:r>
      <w:r>
        <w:rPr>
          <w:rFonts w:hint="eastAsia" w:asciiTheme="minorEastAsia" w:hAnsiTheme="minorEastAsia"/>
          <w:sz w:val="24"/>
        </w:rPr>
        <w:t>直线</w:t>
      </w:r>
      <w:r>
        <w:rPr>
          <w:rFonts w:asciiTheme="minorEastAsia" w:hAnsiTheme="minorEastAsia"/>
          <w:sz w:val="24"/>
        </w:rPr>
        <w:t>长度超过</w:t>
      </w:r>
      <w:r>
        <w:rPr>
          <w:rFonts w:hint="eastAsia" w:asciiTheme="minorEastAsia" w:hAnsiTheme="minorEastAsia"/>
          <w:sz w:val="24"/>
        </w:rPr>
        <w:t>1</w:t>
      </w:r>
      <w:r>
        <w:rPr>
          <w:rFonts w:asciiTheme="minorEastAsia" w:hAnsiTheme="minorEastAsia"/>
          <w:sz w:val="24"/>
        </w:rPr>
        <w:t>0</w:t>
      </w:r>
      <w:r>
        <w:rPr>
          <w:rFonts w:hint="eastAsia" w:asciiTheme="minorEastAsia" w:hAnsiTheme="minorEastAsia"/>
          <w:sz w:val="24"/>
        </w:rPr>
        <w:t>0</w:t>
      </w:r>
      <w:r>
        <w:rPr>
          <w:rFonts w:asciiTheme="minorEastAsia" w:hAnsiTheme="minorEastAsia"/>
          <w:sz w:val="24"/>
        </w:rPr>
        <w:t>m时，应适当拓宽通道并宜增加</w:t>
      </w:r>
      <w:r>
        <w:rPr>
          <w:rFonts w:hint="eastAsia" w:asciiTheme="minorEastAsia" w:hAnsiTheme="minorEastAsia"/>
          <w:sz w:val="24"/>
        </w:rPr>
        <w:t>集散</w:t>
      </w:r>
      <w:r>
        <w:rPr>
          <w:rFonts w:asciiTheme="minorEastAsia" w:hAnsiTheme="minorEastAsia"/>
          <w:sz w:val="24"/>
        </w:rPr>
        <w:t>广场、出入口、采光竖井等设施</w:t>
      </w:r>
      <w:r>
        <w:rPr>
          <w:rFonts w:hint="eastAsia" w:asciiTheme="minorEastAsia" w:hAnsiTheme="minorEastAsia"/>
          <w:sz w:val="24"/>
        </w:rPr>
        <w:t>，并宜设置标志性空间节点</w:t>
      </w:r>
      <w:r>
        <w:rPr>
          <w:rFonts w:asciiTheme="minorEastAsia" w:hAnsiTheme="minorEastAsia"/>
          <w:sz w:val="24"/>
        </w:rPr>
        <w:t>。</w:t>
      </w:r>
    </w:p>
    <w:p w14:paraId="54412CAB">
      <w:pPr>
        <w:spacing w:line="360" w:lineRule="auto"/>
        <w:ind w:firstLine="480" w:firstLineChars="200"/>
        <w:rPr>
          <w:rFonts w:asciiTheme="minorEastAsia" w:hAnsiTheme="minorEastAsia"/>
          <w:sz w:val="24"/>
        </w:rPr>
      </w:pPr>
      <w:r>
        <w:rPr>
          <w:rFonts w:asciiTheme="minorEastAsia" w:hAnsiTheme="minorEastAsia"/>
          <w:sz w:val="24"/>
        </w:rPr>
        <w:t>2 地下</w:t>
      </w:r>
      <w:r>
        <w:rPr>
          <w:rFonts w:hint="eastAsia" w:asciiTheme="minorEastAsia" w:hAnsiTheme="minorEastAsia"/>
          <w:sz w:val="24"/>
        </w:rPr>
        <w:t>连通</w:t>
      </w:r>
      <w:r>
        <w:rPr>
          <w:rFonts w:asciiTheme="minorEastAsia" w:hAnsiTheme="minorEastAsia"/>
          <w:sz w:val="24"/>
        </w:rPr>
        <w:t>通道长度不宜超过200m，如有特别需要而超过300m时，宜设置自动人行道</w:t>
      </w:r>
      <w:r>
        <w:rPr>
          <w:rFonts w:hint="eastAsia" w:asciiTheme="minorEastAsia" w:hAnsiTheme="minorEastAsia"/>
          <w:sz w:val="24"/>
        </w:rPr>
        <w:t>。</w:t>
      </w:r>
      <w:r>
        <w:rPr>
          <w:rFonts w:asciiTheme="minorEastAsia" w:hAnsiTheme="minorEastAsia"/>
          <w:sz w:val="24"/>
        </w:rPr>
        <w:t>若</w:t>
      </w:r>
      <w:r>
        <w:rPr>
          <w:rFonts w:hint="eastAsia" w:asciiTheme="minorEastAsia" w:hAnsiTheme="minorEastAsia"/>
          <w:sz w:val="24"/>
        </w:rPr>
        <w:t>设置自动人行道</w:t>
      </w:r>
      <w:r>
        <w:rPr>
          <w:rFonts w:asciiTheme="minorEastAsia" w:hAnsiTheme="minorEastAsia"/>
          <w:sz w:val="24"/>
        </w:rPr>
        <w:t>确有困难时，</w:t>
      </w:r>
      <w:r>
        <w:rPr>
          <w:rFonts w:hint="eastAsia" w:asciiTheme="minorEastAsia" w:hAnsiTheme="minorEastAsia"/>
          <w:sz w:val="24"/>
        </w:rPr>
        <w:t>可采用电动接驳车等其他接驳设施</w:t>
      </w:r>
      <w:r>
        <w:rPr>
          <w:rFonts w:asciiTheme="minorEastAsia" w:hAnsiTheme="minorEastAsia"/>
          <w:sz w:val="24"/>
        </w:rPr>
        <w:t>。</w:t>
      </w:r>
    </w:p>
    <w:p w14:paraId="6E70CA3C">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 xml:space="preserve">.2.4 </w:t>
      </w:r>
      <w:r>
        <w:rPr>
          <w:rFonts w:hint="eastAsia" w:asciiTheme="minorEastAsia" w:hAnsiTheme="minorEastAsia"/>
          <w:sz w:val="24"/>
        </w:rPr>
        <w:t>地下连通通道</w:t>
      </w:r>
      <w:r>
        <w:rPr>
          <w:rFonts w:asciiTheme="minorEastAsia" w:hAnsiTheme="minorEastAsia"/>
          <w:sz w:val="24"/>
        </w:rPr>
        <w:t>空间尺度指标控制</w:t>
      </w:r>
    </w:p>
    <w:p w14:paraId="090E4FA0">
      <w:pPr>
        <w:spacing w:line="360" w:lineRule="auto"/>
        <w:ind w:firstLine="480" w:firstLineChars="20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空间尺度</w:t>
      </w:r>
      <w:r>
        <w:rPr>
          <w:rFonts w:hint="eastAsia" w:asciiTheme="minorEastAsia" w:hAnsiTheme="minorEastAsia"/>
          <w:sz w:val="24"/>
        </w:rPr>
        <w:t>：地下连通通道</w:t>
      </w:r>
      <w:r>
        <w:rPr>
          <w:rFonts w:asciiTheme="minorEastAsia" w:hAnsiTheme="minorEastAsia"/>
          <w:sz w:val="24"/>
        </w:rPr>
        <w:t>尺度的 D/H 值宜控制在2左右</w:t>
      </w:r>
      <w:r>
        <w:rPr>
          <w:rFonts w:hint="eastAsia" w:asciiTheme="minorEastAsia" w:hAnsiTheme="minorEastAsia"/>
          <w:sz w:val="24"/>
        </w:rPr>
        <w:t>且不宜小于1.5。</w:t>
      </w:r>
    </w:p>
    <w:p w14:paraId="05CC8445">
      <w:pPr>
        <w:spacing w:line="360" w:lineRule="auto"/>
        <w:rPr>
          <w:rFonts w:asciiTheme="minorEastAsia" w:hAnsiTheme="minorEastAsia"/>
          <w:sz w:val="24"/>
        </w:rPr>
      </w:pPr>
      <w:r>
        <w:rPr>
          <w:rFonts w:asciiTheme="minorEastAsia" w:hAnsiTheme="minorEastAsia"/>
          <w:sz w:val="24"/>
        </w:rPr>
        <w:drawing>
          <wp:inline distT="0" distB="0" distL="114300" distR="114300">
            <wp:extent cx="5543550" cy="154813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rcRect t="5410"/>
                    <a:stretch>
                      <a:fillRect/>
                    </a:stretch>
                  </pic:blipFill>
                  <pic:spPr>
                    <a:xfrm>
                      <a:off x="0" y="0"/>
                      <a:ext cx="5563366" cy="1553751"/>
                    </a:xfrm>
                    <a:prstGeom prst="rect">
                      <a:avLst/>
                    </a:prstGeom>
                    <a:noFill/>
                    <a:ln>
                      <a:noFill/>
                    </a:ln>
                  </pic:spPr>
                </pic:pic>
              </a:graphicData>
            </a:graphic>
          </wp:inline>
        </w:drawing>
      </w:r>
    </w:p>
    <w:p w14:paraId="22EAB36E">
      <w:pPr>
        <w:spacing w:line="360" w:lineRule="auto"/>
        <w:ind w:firstLine="480" w:firstLineChars="200"/>
        <w:jc w:val="left"/>
        <w:rPr>
          <w:rFonts w:asciiTheme="minorEastAsia" w:hAnsiTheme="minorEastAsia"/>
          <w:sz w:val="24"/>
        </w:rPr>
      </w:pPr>
    </w:p>
    <w:p w14:paraId="70FF2E24">
      <w:pPr>
        <w:spacing w:line="360" w:lineRule="auto"/>
        <w:ind w:firstLine="480" w:firstLineChars="200"/>
        <w:jc w:val="left"/>
        <w:rPr>
          <w:rFonts w:asciiTheme="minorEastAsia" w:hAnsiTheme="minorEastAsia"/>
          <w:sz w:val="24"/>
        </w:rPr>
      </w:pPr>
      <w:r>
        <w:rPr>
          <w:rFonts w:asciiTheme="minorEastAsia" w:hAnsiTheme="minorEastAsia"/>
          <w:sz w:val="24"/>
        </w:rPr>
        <w:t>2 地下</w:t>
      </w:r>
      <w:r>
        <w:rPr>
          <w:rFonts w:hint="eastAsia" w:asciiTheme="minorEastAsia" w:hAnsiTheme="minorEastAsia"/>
          <w:sz w:val="24"/>
        </w:rPr>
        <w:t>连通</w:t>
      </w:r>
      <w:r>
        <w:rPr>
          <w:rFonts w:asciiTheme="minorEastAsia" w:hAnsiTheme="minorEastAsia"/>
          <w:sz w:val="24"/>
        </w:rPr>
        <w:t>通道净宽应根据</w:t>
      </w:r>
      <w:r>
        <w:rPr>
          <w:rFonts w:hint="eastAsia" w:asciiTheme="minorEastAsia" w:hAnsiTheme="minorEastAsia"/>
          <w:sz w:val="24"/>
        </w:rPr>
        <w:t>使用功能需求、</w:t>
      </w:r>
      <w:r>
        <w:rPr>
          <w:rFonts w:asciiTheme="minorEastAsia" w:hAnsiTheme="minorEastAsia"/>
          <w:sz w:val="24"/>
        </w:rPr>
        <w:t>设计年限内高峰小时人流量和设计通行能力计算确定，并应满足安全、防灾、环境保护等要求。其净尺寸不可小于地下通道所需的最小断面尺寸</w:t>
      </w:r>
      <w:r>
        <w:rPr>
          <w:rFonts w:hint="eastAsia" w:asciiTheme="minorEastAsia" w:hAnsiTheme="minorEastAsia"/>
          <w:sz w:val="24"/>
        </w:rPr>
        <w:t>，具体指标可参照表5</w:t>
      </w:r>
      <w:r>
        <w:rPr>
          <w:rFonts w:asciiTheme="minorEastAsia" w:hAnsiTheme="minorEastAsia"/>
          <w:sz w:val="24"/>
        </w:rPr>
        <w:t>.2.4。</w:t>
      </w:r>
    </w:p>
    <w:p w14:paraId="1AA8951D">
      <w:pPr>
        <w:spacing w:line="360" w:lineRule="auto"/>
        <w:ind w:firstLine="480" w:firstLineChars="200"/>
        <w:rPr>
          <w:rFonts w:asciiTheme="minorEastAsia" w:hAnsiTheme="minorEastAsia"/>
          <w:sz w:val="24"/>
        </w:rPr>
      </w:pPr>
      <w:r>
        <w:rPr>
          <w:rFonts w:asciiTheme="minorEastAsia" w:hAnsiTheme="minorEastAsia"/>
          <w:sz w:val="24"/>
        </w:rPr>
        <w:t>3 地下</w:t>
      </w:r>
      <w:r>
        <w:rPr>
          <w:rFonts w:hint="eastAsia" w:asciiTheme="minorEastAsia" w:hAnsiTheme="minorEastAsia"/>
          <w:sz w:val="24"/>
        </w:rPr>
        <w:t>连通</w:t>
      </w:r>
      <w:r>
        <w:rPr>
          <w:rFonts w:asciiTheme="minorEastAsia" w:hAnsiTheme="minorEastAsia"/>
          <w:sz w:val="24"/>
        </w:rPr>
        <w:t>通道净空高度（地面装饰面至吊顶面）不宜小于3m，若通道构造上确有困难时，在保证消防安全的条件下，净空高度不应小于 2.5m</w:t>
      </w:r>
      <w:r>
        <w:rPr>
          <w:rFonts w:hint="eastAsia" w:asciiTheme="minorEastAsia" w:hAnsiTheme="minorEastAsia"/>
          <w:sz w:val="24"/>
        </w:rPr>
        <w:t>。</w:t>
      </w:r>
      <w:r>
        <w:rPr>
          <w:rFonts w:asciiTheme="minorEastAsia" w:hAnsiTheme="minorEastAsia"/>
          <w:sz w:val="24"/>
        </w:rPr>
        <w:t>若设有商业等设施</w:t>
      </w:r>
      <w:r>
        <w:rPr>
          <w:rFonts w:hint="eastAsia" w:asciiTheme="minorEastAsia" w:hAnsiTheme="minorEastAsia"/>
          <w:sz w:val="24"/>
        </w:rPr>
        <w:t>或者通道长度较长</w:t>
      </w:r>
      <w:r>
        <w:rPr>
          <w:rFonts w:asciiTheme="minorEastAsia" w:hAnsiTheme="minorEastAsia"/>
          <w:sz w:val="24"/>
        </w:rPr>
        <w:t>时，</w:t>
      </w:r>
      <w:r>
        <w:rPr>
          <w:rFonts w:hint="eastAsia" w:asciiTheme="minorEastAsia" w:hAnsiTheme="minorEastAsia"/>
          <w:sz w:val="24"/>
        </w:rPr>
        <w:t>宜适当增加</w:t>
      </w:r>
      <w:r>
        <w:rPr>
          <w:rFonts w:asciiTheme="minorEastAsia" w:hAnsiTheme="minorEastAsia"/>
          <w:sz w:val="24"/>
        </w:rPr>
        <w:t>净高</w:t>
      </w:r>
      <w:r>
        <w:rPr>
          <w:rFonts w:hint="eastAsia" w:asciiTheme="minorEastAsia" w:hAnsiTheme="minorEastAsia"/>
          <w:sz w:val="24"/>
        </w:rPr>
        <w:t>，具体指标可参照表5</w:t>
      </w:r>
      <w:r>
        <w:rPr>
          <w:rFonts w:asciiTheme="minorEastAsia" w:hAnsiTheme="minorEastAsia"/>
          <w:sz w:val="24"/>
        </w:rPr>
        <w:t>.2.4。</w:t>
      </w:r>
    </w:p>
    <w:p w14:paraId="4EC38A97">
      <w:pPr>
        <w:spacing w:after="100" w:afterAutospacing="1" w:line="360" w:lineRule="auto"/>
        <w:jc w:val="center"/>
        <w:rPr>
          <w:rFonts w:asciiTheme="minorEastAsia" w:hAnsiTheme="minorEastAsia"/>
          <w:sz w:val="24"/>
        </w:rPr>
      </w:pPr>
      <w:r>
        <w:rPr>
          <w:rFonts w:hint="eastAsia" w:asciiTheme="minorEastAsia" w:hAnsiTheme="minorEastAsia"/>
          <w:sz w:val="24"/>
        </w:rPr>
        <w:t>表5</w:t>
      </w:r>
      <w:r>
        <w:rPr>
          <w:rFonts w:asciiTheme="minorEastAsia" w:hAnsiTheme="minorEastAsia"/>
          <w:sz w:val="24"/>
        </w:rPr>
        <w:t xml:space="preserve">.2.4 </w:t>
      </w:r>
      <w:r>
        <w:rPr>
          <w:rFonts w:hint="eastAsia" w:asciiTheme="minorEastAsia" w:hAnsiTheme="minorEastAsia"/>
          <w:sz w:val="24"/>
        </w:rPr>
        <w:t>地下连通通道截面尺寸建议值</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701"/>
        <w:gridCol w:w="1843"/>
        <w:gridCol w:w="1701"/>
        <w:gridCol w:w="1701"/>
      </w:tblGrid>
      <w:tr w14:paraId="71EA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vAlign w:val="center"/>
          </w:tcPr>
          <w:p w14:paraId="25BB69BF">
            <w:pPr>
              <w:spacing w:line="360" w:lineRule="auto"/>
              <w:jc w:val="center"/>
              <w:rPr>
                <w:rFonts w:asciiTheme="minorEastAsia" w:hAnsiTheme="minorEastAsia"/>
                <w:sz w:val="24"/>
              </w:rPr>
            </w:pPr>
            <w:r>
              <w:rPr>
                <w:rFonts w:hint="eastAsia" w:asciiTheme="minorEastAsia" w:hAnsiTheme="minorEastAsia"/>
                <w:sz w:val="24"/>
              </w:rPr>
              <w:t>通道等级</w:t>
            </w:r>
          </w:p>
        </w:tc>
        <w:tc>
          <w:tcPr>
            <w:tcW w:w="3544" w:type="dxa"/>
            <w:gridSpan w:val="2"/>
            <w:vAlign w:val="center"/>
          </w:tcPr>
          <w:p w14:paraId="5E31FDB2">
            <w:pPr>
              <w:spacing w:line="360" w:lineRule="auto"/>
              <w:jc w:val="center"/>
              <w:rPr>
                <w:rFonts w:asciiTheme="minorEastAsia" w:hAnsiTheme="minorEastAsia"/>
                <w:sz w:val="24"/>
              </w:rPr>
            </w:pPr>
            <w:r>
              <w:rPr>
                <w:rFonts w:hint="eastAsia" w:asciiTheme="minorEastAsia" w:hAnsiTheme="minorEastAsia"/>
                <w:sz w:val="24"/>
              </w:rPr>
              <w:t>功能设置</w:t>
            </w:r>
          </w:p>
        </w:tc>
        <w:tc>
          <w:tcPr>
            <w:tcW w:w="1701" w:type="dxa"/>
            <w:vAlign w:val="center"/>
          </w:tcPr>
          <w:p w14:paraId="32BA0618">
            <w:pPr>
              <w:spacing w:line="360" w:lineRule="auto"/>
              <w:jc w:val="center"/>
              <w:rPr>
                <w:rFonts w:asciiTheme="minorEastAsia" w:hAnsiTheme="minorEastAsia"/>
                <w:sz w:val="24"/>
              </w:rPr>
            </w:pPr>
            <w:r>
              <w:rPr>
                <w:rFonts w:hint="eastAsia" w:asciiTheme="minorEastAsia" w:hAnsiTheme="minorEastAsia"/>
                <w:sz w:val="24"/>
              </w:rPr>
              <w:t>净宽（m）</w:t>
            </w:r>
          </w:p>
        </w:tc>
        <w:tc>
          <w:tcPr>
            <w:tcW w:w="1701" w:type="dxa"/>
            <w:vAlign w:val="center"/>
          </w:tcPr>
          <w:p w14:paraId="70779696">
            <w:pPr>
              <w:spacing w:line="360" w:lineRule="auto"/>
              <w:jc w:val="center"/>
              <w:rPr>
                <w:rFonts w:asciiTheme="minorEastAsia" w:hAnsiTheme="minorEastAsia"/>
                <w:sz w:val="24"/>
              </w:rPr>
            </w:pPr>
            <w:r>
              <w:rPr>
                <w:rFonts w:hint="eastAsia" w:asciiTheme="minorEastAsia" w:hAnsiTheme="minorEastAsia"/>
                <w:sz w:val="24"/>
              </w:rPr>
              <w:t>净高（m）</w:t>
            </w:r>
          </w:p>
        </w:tc>
      </w:tr>
      <w:tr w14:paraId="1AD4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restart"/>
            <w:vAlign w:val="center"/>
          </w:tcPr>
          <w:p w14:paraId="0B4A8886">
            <w:pPr>
              <w:spacing w:line="360" w:lineRule="auto"/>
              <w:jc w:val="center"/>
              <w:rPr>
                <w:rFonts w:asciiTheme="minorEastAsia" w:hAnsiTheme="minorEastAsia"/>
                <w:sz w:val="24"/>
              </w:rPr>
            </w:pPr>
            <w:bookmarkStart w:id="18" w:name="_Hlk185961952"/>
            <w:r>
              <w:rPr>
                <w:rFonts w:hint="eastAsia" w:asciiTheme="minorEastAsia" w:hAnsiTheme="minorEastAsia"/>
                <w:sz w:val="24"/>
              </w:rPr>
              <w:t>主通道</w:t>
            </w:r>
          </w:p>
        </w:tc>
        <w:tc>
          <w:tcPr>
            <w:tcW w:w="3544" w:type="dxa"/>
            <w:gridSpan w:val="2"/>
            <w:vAlign w:val="center"/>
          </w:tcPr>
          <w:p w14:paraId="2B6BFE4D">
            <w:pPr>
              <w:spacing w:line="360" w:lineRule="auto"/>
              <w:jc w:val="center"/>
              <w:rPr>
                <w:rFonts w:asciiTheme="minorEastAsia" w:hAnsiTheme="minorEastAsia"/>
                <w:sz w:val="24"/>
              </w:rPr>
            </w:pPr>
            <w:r>
              <w:rPr>
                <w:rFonts w:hint="eastAsia" w:asciiTheme="minorEastAsia" w:hAnsiTheme="minorEastAsia"/>
                <w:sz w:val="24"/>
              </w:rPr>
              <w:t>通行</w:t>
            </w:r>
          </w:p>
        </w:tc>
        <w:tc>
          <w:tcPr>
            <w:tcW w:w="1701" w:type="dxa"/>
            <w:vAlign w:val="center"/>
          </w:tcPr>
          <w:p w14:paraId="6707CF92">
            <w:pPr>
              <w:spacing w:line="360" w:lineRule="auto"/>
              <w:jc w:val="center"/>
              <w:rPr>
                <w:rFonts w:asciiTheme="minorEastAsia" w:hAnsiTheme="minorEastAsia"/>
                <w:sz w:val="24"/>
              </w:rPr>
            </w:pPr>
            <w:r>
              <w:rPr>
                <w:rFonts w:hint="eastAsia" w:asciiTheme="minorEastAsia" w:hAnsiTheme="minorEastAsia"/>
                <w:sz w:val="24"/>
              </w:rPr>
              <w:t>≥5</w:t>
            </w:r>
            <w:r>
              <w:rPr>
                <w:rFonts w:asciiTheme="minorEastAsia" w:hAnsiTheme="minorEastAsia"/>
                <w:sz w:val="24"/>
              </w:rPr>
              <w:t>.0</w:t>
            </w:r>
          </w:p>
        </w:tc>
        <w:tc>
          <w:tcPr>
            <w:tcW w:w="1701" w:type="dxa"/>
            <w:vAlign w:val="center"/>
          </w:tcPr>
          <w:p w14:paraId="2E6A0A78">
            <w:pPr>
              <w:spacing w:line="360" w:lineRule="auto"/>
              <w:jc w:val="center"/>
              <w:rPr>
                <w:rFonts w:asciiTheme="minorEastAsia" w:hAnsiTheme="minorEastAsia"/>
                <w:sz w:val="24"/>
              </w:rPr>
            </w:pPr>
            <w:r>
              <w:rPr>
                <w:rFonts w:hint="eastAsia" w:asciiTheme="minorEastAsia" w:hAnsiTheme="minorEastAsia"/>
                <w:sz w:val="24"/>
              </w:rPr>
              <w:t>≥3</w:t>
            </w:r>
            <w:r>
              <w:rPr>
                <w:rFonts w:asciiTheme="minorEastAsia" w:hAnsiTheme="minorEastAsia"/>
                <w:sz w:val="24"/>
              </w:rPr>
              <w:t>.0</w:t>
            </w:r>
          </w:p>
        </w:tc>
      </w:tr>
      <w:tr w14:paraId="6E7F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continue"/>
            <w:vAlign w:val="center"/>
          </w:tcPr>
          <w:p w14:paraId="0C66EA10">
            <w:pPr>
              <w:spacing w:line="360" w:lineRule="auto"/>
              <w:jc w:val="center"/>
              <w:rPr>
                <w:rFonts w:asciiTheme="minorEastAsia" w:hAnsiTheme="minorEastAsia"/>
                <w:sz w:val="24"/>
              </w:rPr>
            </w:pPr>
          </w:p>
        </w:tc>
        <w:tc>
          <w:tcPr>
            <w:tcW w:w="3544" w:type="dxa"/>
            <w:gridSpan w:val="2"/>
            <w:vAlign w:val="center"/>
          </w:tcPr>
          <w:p w14:paraId="75524FDF">
            <w:pPr>
              <w:spacing w:line="360" w:lineRule="auto"/>
              <w:jc w:val="center"/>
              <w:rPr>
                <w:rFonts w:asciiTheme="minorEastAsia" w:hAnsiTheme="minorEastAsia"/>
                <w:sz w:val="24"/>
              </w:rPr>
            </w:pPr>
            <w:r>
              <w:rPr>
                <w:rFonts w:hint="eastAsia" w:asciiTheme="minorEastAsia" w:hAnsiTheme="minorEastAsia"/>
                <w:sz w:val="24"/>
              </w:rPr>
              <w:t>通行兼休憩</w:t>
            </w:r>
          </w:p>
        </w:tc>
        <w:tc>
          <w:tcPr>
            <w:tcW w:w="1701" w:type="dxa"/>
            <w:vAlign w:val="center"/>
          </w:tcPr>
          <w:p w14:paraId="7AF51EA7">
            <w:pPr>
              <w:spacing w:line="360" w:lineRule="auto"/>
              <w:jc w:val="center"/>
              <w:rPr>
                <w:rFonts w:asciiTheme="minorEastAsia" w:hAnsiTheme="minorEastAsia"/>
                <w:sz w:val="24"/>
              </w:rPr>
            </w:pPr>
            <w:r>
              <w:rPr>
                <w:rFonts w:hint="eastAsia" w:asciiTheme="minorEastAsia" w:hAnsiTheme="minorEastAsia"/>
                <w:sz w:val="24"/>
              </w:rPr>
              <w:t>≥5</w:t>
            </w:r>
            <w:r>
              <w:rPr>
                <w:rFonts w:asciiTheme="minorEastAsia" w:hAnsiTheme="minorEastAsia"/>
                <w:sz w:val="24"/>
              </w:rPr>
              <w:t>.0</w:t>
            </w:r>
          </w:p>
        </w:tc>
        <w:tc>
          <w:tcPr>
            <w:tcW w:w="1701" w:type="dxa"/>
            <w:vAlign w:val="center"/>
          </w:tcPr>
          <w:p w14:paraId="2A02DC80">
            <w:pPr>
              <w:spacing w:line="360" w:lineRule="auto"/>
              <w:jc w:val="center"/>
              <w:rPr>
                <w:rFonts w:asciiTheme="minorEastAsia" w:hAnsiTheme="minorEastAsia"/>
                <w:sz w:val="24"/>
              </w:rPr>
            </w:pPr>
            <w:r>
              <w:rPr>
                <w:rFonts w:hint="eastAsia" w:asciiTheme="minorEastAsia" w:hAnsiTheme="minorEastAsia"/>
                <w:sz w:val="24"/>
              </w:rPr>
              <w:t>≥3</w:t>
            </w:r>
            <w:r>
              <w:rPr>
                <w:rFonts w:asciiTheme="minorEastAsia" w:hAnsiTheme="minorEastAsia"/>
                <w:sz w:val="24"/>
              </w:rPr>
              <w:t>.5</w:t>
            </w:r>
          </w:p>
        </w:tc>
      </w:tr>
      <w:bookmarkEnd w:id="18"/>
      <w:tr w14:paraId="3D08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continue"/>
            <w:vAlign w:val="center"/>
          </w:tcPr>
          <w:p w14:paraId="76036B44">
            <w:pPr>
              <w:spacing w:line="360" w:lineRule="auto"/>
              <w:jc w:val="center"/>
              <w:rPr>
                <w:rFonts w:asciiTheme="minorEastAsia" w:hAnsiTheme="minorEastAsia"/>
                <w:sz w:val="24"/>
              </w:rPr>
            </w:pPr>
          </w:p>
        </w:tc>
        <w:tc>
          <w:tcPr>
            <w:tcW w:w="1701" w:type="dxa"/>
            <w:vMerge w:val="restart"/>
            <w:vAlign w:val="center"/>
          </w:tcPr>
          <w:p w14:paraId="5E1BA51B">
            <w:pPr>
              <w:spacing w:line="360" w:lineRule="auto"/>
              <w:jc w:val="center"/>
              <w:rPr>
                <w:rFonts w:asciiTheme="minorEastAsia" w:hAnsiTheme="minorEastAsia"/>
                <w:sz w:val="24"/>
              </w:rPr>
            </w:pPr>
            <w:r>
              <w:rPr>
                <w:rFonts w:hint="eastAsia" w:asciiTheme="minorEastAsia" w:hAnsiTheme="minorEastAsia"/>
                <w:sz w:val="24"/>
              </w:rPr>
              <w:t>通行兼商业</w:t>
            </w:r>
          </w:p>
        </w:tc>
        <w:tc>
          <w:tcPr>
            <w:tcW w:w="1843" w:type="dxa"/>
            <w:vAlign w:val="center"/>
          </w:tcPr>
          <w:p w14:paraId="0F1B9EBD">
            <w:pPr>
              <w:spacing w:line="360" w:lineRule="auto"/>
              <w:jc w:val="center"/>
              <w:rPr>
                <w:rFonts w:asciiTheme="minorEastAsia" w:hAnsiTheme="minorEastAsia"/>
                <w:sz w:val="24"/>
              </w:rPr>
            </w:pPr>
            <w:r>
              <w:rPr>
                <w:rFonts w:hint="eastAsia" w:asciiTheme="minorEastAsia" w:hAnsiTheme="minorEastAsia"/>
                <w:sz w:val="24"/>
              </w:rPr>
              <w:t>单侧商业</w:t>
            </w:r>
          </w:p>
        </w:tc>
        <w:tc>
          <w:tcPr>
            <w:tcW w:w="1701" w:type="dxa"/>
            <w:vAlign w:val="center"/>
          </w:tcPr>
          <w:p w14:paraId="3AAE67B2">
            <w:pPr>
              <w:spacing w:line="360" w:lineRule="auto"/>
              <w:jc w:val="center"/>
              <w:rPr>
                <w:rFonts w:asciiTheme="minorEastAsia" w:hAnsiTheme="minorEastAsia"/>
                <w:sz w:val="24"/>
              </w:rPr>
            </w:pPr>
            <w:r>
              <w:rPr>
                <w:rFonts w:hint="eastAsia" w:asciiTheme="minorEastAsia" w:hAnsiTheme="minorEastAsia"/>
                <w:sz w:val="24"/>
              </w:rPr>
              <w:t>≥5</w:t>
            </w:r>
            <w:r>
              <w:rPr>
                <w:rFonts w:asciiTheme="minorEastAsia" w:hAnsiTheme="minorEastAsia"/>
                <w:sz w:val="24"/>
              </w:rPr>
              <w:t>.0</w:t>
            </w:r>
          </w:p>
        </w:tc>
        <w:tc>
          <w:tcPr>
            <w:tcW w:w="1701" w:type="dxa"/>
            <w:vAlign w:val="center"/>
          </w:tcPr>
          <w:p w14:paraId="1F8795EA">
            <w:pPr>
              <w:spacing w:line="360" w:lineRule="auto"/>
              <w:jc w:val="center"/>
              <w:rPr>
                <w:rFonts w:asciiTheme="minorEastAsia" w:hAnsiTheme="minorEastAsia"/>
                <w:sz w:val="24"/>
              </w:rPr>
            </w:pPr>
            <w:r>
              <w:rPr>
                <w:rFonts w:hint="eastAsia" w:asciiTheme="minorEastAsia" w:hAnsiTheme="minorEastAsia"/>
                <w:sz w:val="24"/>
              </w:rPr>
              <w:t>≥3</w:t>
            </w:r>
            <w:r>
              <w:rPr>
                <w:rFonts w:asciiTheme="minorEastAsia" w:hAnsiTheme="minorEastAsia"/>
                <w:sz w:val="24"/>
              </w:rPr>
              <w:t>.5</w:t>
            </w:r>
          </w:p>
        </w:tc>
      </w:tr>
      <w:tr w14:paraId="2BD7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continue"/>
            <w:vAlign w:val="center"/>
          </w:tcPr>
          <w:p w14:paraId="3ED726F1">
            <w:pPr>
              <w:spacing w:line="360" w:lineRule="auto"/>
              <w:jc w:val="center"/>
              <w:rPr>
                <w:rFonts w:asciiTheme="minorEastAsia" w:hAnsiTheme="minorEastAsia"/>
                <w:sz w:val="24"/>
              </w:rPr>
            </w:pPr>
          </w:p>
        </w:tc>
        <w:tc>
          <w:tcPr>
            <w:tcW w:w="1701" w:type="dxa"/>
            <w:vMerge w:val="continue"/>
            <w:vAlign w:val="center"/>
          </w:tcPr>
          <w:p w14:paraId="2440D446">
            <w:pPr>
              <w:spacing w:line="360" w:lineRule="auto"/>
              <w:jc w:val="center"/>
              <w:rPr>
                <w:rFonts w:asciiTheme="minorEastAsia" w:hAnsiTheme="minorEastAsia"/>
                <w:sz w:val="24"/>
              </w:rPr>
            </w:pPr>
          </w:p>
        </w:tc>
        <w:tc>
          <w:tcPr>
            <w:tcW w:w="1843" w:type="dxa"/>
            <w:vAlign w:val="center"/>
          </w:tcPr>
          <w:p w14:paraId="5661145F">
            <w:pPr>
              <w:spacing w:line="360" w:lineRule="auto"/>
              <w:jc w:val="center"/>
              <w:rPr>
                <w:rFonts w:asciiTheme="minorEastAsia" w:hAnsiTheme="minorEastAsia"/>
                <w:sz w:val="24"/>
              </w:rPr>
            </w:pPr>
            <w:r>
              <w:rPr>
                <w:rFonts w:hint="eastAsia" w:asciiTheme="minorEastAsia" w:hAnsiTheme="minorEastAsia"/>
                <w:sz w:val="24"/>
              </w:rPr>
              <w:t>双侧商业</w:t>
            </w:r>
          </w:p>
        </w:tc>
        <w:tc>
          <w:tcPr>
            <w:tcW w:w="1701" w:type="dxa"/>
            <w:vAlign w:val="center"/>
          </w:tcPr>
          <w:p w14:paraId="40E4D236">
            <w:pPr>
              <w:spacing w:line="360" w:lineRule="auto"/>
              <w:jc w:val="center"/>
              <w:rPr>
                <w:rFonts w:asciiTheme="minorEastAsia" w:hAnsiTheme="minorEastAsia"/>
                <w:sz w:val="24"/>
              </w:rPr>
            </w:pPr>
            <w:r>
              <w:rPr>
                <w:rFonts w:hint="eastAsia" w:asciiTheme="minorEastAsia" w:hAnsiTheme="minorEastAsia"/>
                <w:sz w:val="24"/>
              </w:rPr>
              <w:t>≥6</w:t>
            </w:r>
            <w:r>
              <w:rPr>
                <w:rFonts w:asciiTheme="minorEastAsia" w:hAnsiTheme="minorEastAsia"/>
                <w:sz w:val="24"/>
              </w:rPr>
              <w:t>.0</w:t>
            </w:r>
          </w:p>
        </w:tc>
        <w:tc>
          <w:tcPr>
            <w:tcW w:w="1701" w:type="dxa"/>
            <w:vAlign w:val="center"/>
          </w:tcPr>
          <w:p w14:paraId="4039B1F4">
            <w:pPr>
              <w:spacing w:line="360" w:lineRule="auto"/>
              <w:jc w:val="center"/>
              <w:rPr>
                <w:rFonts w:asciiTheme="minorEastAsia" w:hAnsiTheme="minorEastAsia"/>
                <w:sz w:val="24"/>
              </w:rPr>
            </w:pPr>
            <w:r>
              <w:rPr>
                <w:rFonts w:hint="eastAsia" w:asciiTheme="minorEastAsia" w:hAnsiTheme="minorEastAsia"/>
                <w:sz w:val="24"/>
              </w:rPr>
              <w:t>≥3</w:t>
            </w:r>
            <w:r>
              <w:rPr>
                <w:rFonts w:asciiTheme="minorEastAsia" w:hAnsiTheme="minorEastAsia"/>
                <w:sz w:val="24"/>
              </w:rPr>
              <w:t>.5</w:t>
            </w:r>
          </w:p>
        </w:tc>
      </w:tr>
      <w:tr w14:paraId="1660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restart"/>
            <w:vAlign w:val="center"/>
          </w:tcPr>
          <w:p w14:paraId="21E0BA07">
            <w:pPr>
              <w:spacing w:line="360" w:lineRule="auto"/>
              <w:jc w:val="center"/>
              <w:rPr>
                <w:rFonts w:asciiTheme="minorEastAsia" w:hAnsiTheme="minorEastAsia"/>
                <w:sz w:val="24"/>
              </w:rPr>
            </w:pPr>
            <w:r>
              <w:rPr>
                <w:rFonts w:hint="eastAsia" w:asciiTheme="minorEastAsia" w:hAnsiTheme="minorEastAsia"/>
                <w:sz w:val="24"/>
              </w:rPr>
              <w:t>次通道</w:t>
            </w:r>
          </w:p>
        </w:tc>
        <w:tc>
          <w:tcPr>
            <w:tcW w:w="3544" w:type="dxa"/>
            <w:gridSpan w:val="2"/>
            <w:vAlign w:val="center"/>
          </w:tcPr>
          <w:p w14:paraId="07362857">
            <w:pPr>
              <w:spacing w:line="360" w:lineRule="auto"/>
              <w:jc w:val="center"/>
              <w:rPr>
                <w:rFonts w:asciiTheme="minorEastAsia" w:hAnsiTheme="minorEastAsia"/>
                <w:sz w:val="24"/>
              </w:rPr>
            </w:pPr>
            <w:r>
              <w:rPr>
                <w:rFonts w:hint="eastAsia" w:asciiTheme="minorEastAsia" w:hAnsiTheme="minorEastAsia"/>
                <w:sz w:val="24"/>
              </w:rPr>
              <w:t>通行</w:t>
            </w:r>
          </w:p>
        </w:tc>
        <w:tc>
          <w:tcPr>
            <w:tcW w:w="1701" w:type="dxa"/>
            <w:vAlign w:val="center"/>
          </w:tcPr>
          <w:p w14:paraId="1BAEB384">
            <w:pPr>
              <w:spacing w:line="360" w:lineRule="auto"/>
              <w:jc w:val="center"/>
              <w:rPr>
                <w:rFonts w:asciiTheme="minorEastAsia" w:hAnsiTheme="minorEastAsia"/>
                <w:sz w:val="24"/>
              </w:rPr>
            </w:pPr>
            <w:r>
              <w:rPr>
                <w:rFonts w:hint="eastAsia" w:asciiTheme="minorEastAsia" w:hAnsiTheme="minorEastAsia"/>
                <w:sz w:val="24"/>
              </w:rPr>
              <w:t>≥4</w:t>
            </w:r>
            <w:r>
              <w:rPr>
                <w:rFonts w:asciiTheme="minorEastAsia" w:hAnsiTheme="minorEastAsia"/>
                <w:sz w:val="24"/>
              </w:rPr>
              <w:t>.0</w:t>
            </w:r>
          </w:p>
        </w:tc>
        <w:tc>
          <w:tcPr>
            <w:tcW w:w="1701" w:type="dxa"/>
            <w:vAlign w:val="center"/>
          </w:tcPr>
          <w:p w14:paraId="3A50B9EC">
            <w:pPr>
              <w:spacing w:line="360" w:lineRule="auto"/>
              <w:jc w:val="center"/>
              <w:rPr>
                <w:rFonts w:asciiTheme="minorEastAsia" w:hAnsiTheme="minorEastAsia"/>
                <w:sz w:val="24"/>
              </w:rPr>
            </w:pPr>
            <w:r>
              <w:rPr>
                <w:rFonts w:hint="eastAsia" w:asciiTheme="minorEastAsia" w:hAnsiTheme="minorEastAsia"/>
                <w:sz w:val="24"/>
              </w:rPr>
              <w:t>≥2</w:t>
            </w:r>
            <w:r>
              <w:rPr>
                <w:rFonts w:asciiTheme="minorEastAsia" w:hAnsiTheme="minorEastAsia"/>
                <w:sz w:val="24"/>
              </w:rPr>
              <w:t>.5</w:t>
            </w:r>
          </w:p>
        </w:tc>
      </w:tr>
      <w:tr w14:paraId="6799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continue"/>
            <w:vAlign w:val="center"/>
          </w:tcPr>
          <w:p w14:paraId="423369BC">
            <w:pPr>
              <w:spacing w:line="360" w:lineRule="auto"/>
              <w:jc w:val="center"/>
              <w:rPr>
                <w:rFonts w:asciiTheme="minorEastAsia" w:hAnsiTheme="minorEastAsia"/>
                <w:sz w:val="24"/>
              </w:rPr>
            </w:pPr>
          </w:p>
        </w:tc>
        <w:tc>
          <w:tcPr>
            <w:tcW w:w="3544" w:type="dxa"/>
            <w:gridSpan w:val="2"/>
            <w:vAlign w:val="center"/>
          </w:tcPr>
          <w:p w14:paraId="51780A25">
            <w:pPr>
              <w:spacing w:line="360" w:lineRule="auto"/>
              <w:jc w:val="center"/>
              <w:rPr>
                <w:rFonts w:asciiTheme="minorEastAsia" w:hAnsiTheme="minorEastAsia"/>
                <w:sz w:val="24"/>
              </w:rPr>
            </w:pPr>
            <w:r>
              <w:rPr>
                <w:rFonts w:hint="eastAsia" w:asciiTheme="minorEastAsia" w:hAnsiTheme="minorEastAsia"/>
                <w:sz w:val="24"/>
              </w:rPr>
              <w:t>通行兼休憩</w:t>
            </w:r>
          </w:p>
        </w:tc>
        <w:tc>
          <w:tcPr>
            <w:tcW w:w="1701" w:type="dxa"/>
            <w:vAlign w:val="center"/>
          </w:tcPr>
          <w:p w14:paraId="70405B6B">
            <w:pPr>
              <w:spacing w:line="360" w:lineRule="auto"/>
              <w:jc w:val="center"/>
              <w:rPr>
                <w:rFonts w:asciiTheme="minorEastAsia" w:hAnsiTheme="minorEastAsia"/>
                <w:sz w:val="24"/>
              </w:rPr>
            </w:pPr>
            <w:r>
              <w:rPr>
                <w:rFonts w:hint="eastAsia" w:asciiTheme="minorEastAsia" w:hAnsiTheme="minorEastAsia"/>
                <w:sz w:val="24"/>
              </w:rPr>
              <w:t>≥4</w:t>
            </w:r>
            <w:r>
              <w:rPr>
                <w:rFonts w:asciiTheme="minorEastAsia" w:hAnsiTheme="minorEastAsia"/>
                <w:sz w:val="24"/>
              </w:rPr>
              <w:t>.5</w:t>
            </w:r>
          </w:p>
        </w:tc>
        <w:tc>
          <w:tcPr>
            <w:tcW w:w="1701" w:type="dxa"/>
            <w:vAlign w:val="center"/>
          </w:tcPr>
          <w:p w14:paraId="18851AD9">
            <w:pPr>
              <w:spacing w:line="360" w:lineRule="auto"/>
              <w:jc w:val="center"/>
              <w:rPr>
                <w:rFonts w:asciiTheme="minorEastAsia" w:hAnsiTheme="minorEastAsia"/>
                <w:sz w:val="24"/>
              </w:rPr>
            </w:pPr>
            <w:r>
              <w:rPr>
                <w:rFonts w:hint="eastAsia" w:asciiTheme="minorEastAsia" w:hAnsiTheme="minorEastAsia"/>
                <w:sz w:val="24"/>
              </w:rPr>
              <w:t>≥3</w:t>
            </w:r>
            <w:r>
              <w:rPr>
                <w:rFonts w:asciiTheme="minorEastAsia" w:hAnsiTheme="minorEastAsia"/>
                <w:sz w:val="24"/>
              </w:rPr>
              <w:t>.0</w:t>
            </w:r>
          </w:p>
        </w:tc>
      </w:tr>
    </w:tbl>
    <w:p w14:paraId="3E15E76F">
      <w:pPr>
        <w:spacing w:line="360" w:lineRule="auto"/>
        <w:jc w:val="center"/>
        <w:rPr>
          <w:rFonts w:asciiTheme="minorEastAsia" w:hAnsiTheme="minorEastAsia"/>
          <w:sz w:val="24"/>
        </w:rPr>
      </w:pPr>
    </w:p>
    <w:p w14:paraId="0B544AAC">
      <w:pPr>
        <w:spacing w:line="360" w:lineRule="auto"/>
        <w:jc w:val="left"/>
        <w:rPr>
          <w:rFonts w:asciiTheme="minorEastAsia" w:hAnsiTheme="minorEastAsia"/>
          <w:sz w:val="24"/>
        </w:rPr>
      </w:pPr>
      <w:r>
        <w:rPr>
          <w:rFonts w:hint="eastAsia" w:asciiTheme="minorEastAsia" w:hAnsiTheme="minorEastAsia"/>
          <w:sz w:val="24"/>
        </w:rPr>
        <w:t>5</w:t>
      </w:r>
      <w:r>
        <w:rPr>
          <w:rFonts w:asciiTheme="minorEastAsia" w:hAnsiTheme="minorEastAsia"/>
          <w:sz w:val="24"/>
        </w:rPr>
        <w:t xml:space="preserve">.2.5 </w:t>
      </w:r>
      <w:r>
        <w:rPr>
          <w:rFonts w:hint="eastAsia" w:asciiTheme="minorEastAsia" w:hAnsiTheme="minorEastAsia"/>
          <w:sz w:val="24"/>
        </w:rPr>
        <w:t>地下连通通道中交通转换节点的设计应遵循以下要求：</w:t>
      </w:r>
    </w:p>
    <w:p w14:paraId="5F63422F">
      <w:pPr>
        <w:spacing w:line="360" w:lineRule="auto"/>
        <w:ind w:firstLine="480" w:firstLineChars="200"/>
        <w:jc w:val="left"/>
        <w:rPr>
          <w:rFonts w:asciiTheme="minorEastAsia" w:hAnsiTheme="minorEastAsia"/>
          <w:sz w:val="24"/>
        </w:rPr>
      </w:pPr>
      <w:r>
        <w:rPr>
          <w:rFonts w:hint="eastAsia" w:asciiTheme="minorEastAsia" w:hAnsiTheme="minorEastAsia"/>
          <w:sz w:val="24"/>
        </w:rPr>
        <w:t>1 楼梯、电梯、自动扶梯出入口与连通通道相连接时，应设置与客流规模匹配的集散空间。</w:t>
      </w:r>
    </w:p>
    <w:p w14:paraId="1BFB9C78">
      <w:pPr>
        <w:spacing w:line="360" w:lineRule="auto"/>
        <w:ind w:firstLine="480" w:firstLineChars="200"/>
        <w:jc w:val="left"/>
        <w:rPr>
          <w:rFonts w:asciiTheme="minorEastAsia" w:hAnsiTheme="minorEastAsia"/>
          <w:sz w:val="24"/>
        </w:rPr>
      </w:pPr>
      <w:r>
        <w:rPr>
          <w:rFonts w:asciiTheme="minorEastAsia" w:hAnsiTheme="minorEastAsia"/>
          <w:sz w:val="24"/>
        </w:rPr>
        <w:t xml:space="preserve">2 </w:t>
      </w:r>
      <w:r>
        <w:rPr>
          <w:rFonts w:hint="eastAsia" w:asciiTheme="minorEastAsia" w:hAnsiTheme="minorEastAsia"/>
          <w:sz w:val="24"/>
        </w:rPr>
        <w:t>地下连通通道平面交叉时，交叉点宜设置过厅空间，过厅面积根据高峰小时通行人员流量确定。</w:t>
      </w:r>
    </w:p>
    <w:p w14:paraId="7664C823">
      <w:pPr>
        <w:spacing w:line="360" w:lineRule="auto"/>
        <w:ind w:firstLine="480" w:firstLineChars="200"/>
        <w:jc w:val="left"/>
        <w:rPr>
          <w:rFonts w:asciiTheme="minorEastAsia" w:hAnsiTheme="minorEastAsia"/>
          <w:sz w:val="24"/>
        </w:rPr>
      </w:pPr>
      <w:r>
        <w:rPr>
          <w:rFonts w:hint="eastAsia" w:asciiTheme="minorEastAsia" w:hAnsiTheme="minorEastAsia"/>
          <w:sz w:val="24"/>
        </w:rPr>
        <w:t>3</w:t>
      </w:r>
      <w:r>
        <w:rPr>
          <w:rFonts w:asciiTheme="minorEastAsia" w:hAnsiTheme="minorEastAsia"/>
          <w:sz w:val="24"/>
        </w:rPr>
        <w:t xml:space="preserve"> </w:t>
      </w:r>
      <w:r>
        <w:rPr>
          <w:rFonts w:hint="eastAsia" w:asciiTheme="minorEastAsia" w:hAnsiTheme="minorEastAsia"/>
          <w:sz w:val="24"/>
        </w:rPr>
        <w:t>在垂直交通转换处，空间尺度应适当放大作为转换区。</w:t>
      </w:r>
    </w:p>
    <w:p w14:paraId="1B049C85">
      <w:pPr>
        <w:spacing w:line="360" w:lineRule="auto"/>
        <w:ind w:firstLine="480" w:firstLineChars="200"/>
        <w:jc w:val="left"/>
        <w:rPr>
          <w:rFonts w:asciiTheme="minorEastAsia" w:hAnsiTheme="minorEastAsia"/>
          <w:sz w:val="24"/>
        </w:rPr>
      </w:pPr>
    </w:p>
    <w:p w14:paraId="0BF0C912">
      <w:pPr>
        <w:spacing w:line="360" w:lineRule="auto"/>
        <w:jc w:val="center"/>
        <w:outlineLvl w:val="1"/>
        <w:rPr>
          <w:rFonts w:ascii="黑体" w:hAnsi="黑体" w:eastAsia="黑体"/>
          <w:b/>
          <w:bCs/>
          <w:sz w:val="24"/>
        </w:rPr>
      </w:pPr>
      <w:bookmarkStart w:id="19" w:name="_Toc190693035"/>
      <w:r>
        <w:rPr>
          <w:rFonts w:hint="eastAsia" w:ascii="黑体" w:hAnsi="黑体" w:eastAsia="黑体"/>
          <w:b/>
          <w:bCs/>
          <w:sz w:val="24"/>
        </w:rPr>
        <w:t>5.</w:t>
      </w:r>
      <w:r>
        <w:rPr>
          <w:rFonts w:ascii="黑体" w:hAnsi="黑体" w:eastAsia="黑体"/>
          <w:b/>
          <w:bCs/>
          <w:sz w:val="24"/>
        </w:rPr>
        <w:t>3</w:t>
      </w:r>
      <w:r>
        <w:rPr>
          <w:rFonts w:hint="eastAsia" w:ascii="黑体" w:hAnsi="黑体" w:eastAsia="黑体"/>
          <w:b/>
          <w:bCs/>
          <w:sz w:val="24"/>
        </w:rPr>
        <w:t xml:space="preserve"> 下沉广场设计</w:t>
      </w:r>
      <w:bookmarkEnd w:id="19"/>
    </w:p>
    <w:p w14:paraId="5FC3E6BD">
      <w:pPr>
        <w:spacing w:line="360" w:lineRule="auto"/>
        <w:rPr>
          <w:rFonts w:asciiTheme="minorEastAsia" w:hAnsiTheme="minorEastAsia"/>
          <w:sz w:val="24"/>
        </w:rPr>
      </w:pPr>
    </w:p>
    <w:p w14:paraId="5C9BF5FD">
      <w:pPr>
        <w:spacing w:line="360" w:lineRule="auto"/>
        <w:rPr>
          <w:rFonts w:asciiTheme="minorEastAsia" w:hAnsiTheme="minorEastAsia"/>
          <w:sz w:val="24"/>
        </w:rPr>
      </w:pPr>
      <w:r>
        <w:rPr>
          <w:rFonts w:asciiTheme="minorEastAsia" w:hAnsiTheme="minorEastAsia"/>
          <w:sz w:val="24"/>
        </w:rPr>
        <w:t>5.3.</w:t>
      </w:r>
      <w:r>
        <w:rPr>
          <w:rFonts w:hint="eastAsia" w:asciiTheme="minorEastAsia" w:hAnsiTheme="minorEastAsia"/>
          <w:sz w:val="24"/>
        </w:rPr>
        <w:t>1 下沉式广场的平面布局应以满足步行交通顺畅、安全为前提，应明确划分交通路线，在满足通行功能后留有多余空间，可设置景观、休息区等空间。</w:t>
      </w:r>
    </w:p>
    <w:p w14:paraId="6FD2D4C8">
      <w:pPr>
        <w:spacing w:line="360" w:lineRule="auto"/>
        <w:rPr>
          <w:rFonts w:asciiTheme="minorEastAsia" w:hAnsiTheme="minorEastAsia"/>
          <w:sz w:val="24"/>
        </w:rPr>
      </w:pPr>
      <w:r>
        <w:rPr>
          <w:rFonts w:asciiTheme="minorEastAsia" w:hAnsiTheme="minorEastAsia"/>
          <w:sz w:val="24"/>
        </w:rPr>
        <w:t>5.3.</w:t>
      </w:r>
      <w:r>
        <w:rPr>
          <w:rFonts w:hint="eastAsia" w:asciiTheme="minorEastAsia" w:hAnsiTheme="minorEastAsia"/>
          <w:sz w:val="24"/>
        </w:rPr>
        <w:t>2 下沉式广场的宽高D:H比值宜大于2小于6。</w:t>
      </w:r>
    </w:p>
    <w:p w14:paraId="0826490E">
      <w:pPr>
        <w:spacing w:line="360" w:lineRule="auto"/>
        <w:rPr>
          <w:rFonts w:asciiTheme="minorEastAsia" w:hAnsiTheme="minorEastAsia"/>
          <w:sz w:val="24"/>
        </w:rPr>
      </w:pPr>
      <w:r>
        <w:rPr>
          <w:rFonts w:asciiTheme="minorEastAsia" w:hAnsiTheme="minorEastAsia"/>
          <w:sz w:val="24"/>
        </w:rPr>
        <w:t>5.3.</w:t>
      </w:r>
      <w:r>
        <w:rPr>
          <w:rFonts w:hint="eastAsia" w:asciiTheme="minorEastAsia" w:hAnsiTheme="minorEastAsia"/>
          <w:sz w:val="24"/>
        </w:rPr>
        <w:t>3 下沉式广场的竖向设计应与地面连接直达、通畅，保证转换的连续性，不应有过多的步道来回曲折或无法直接转换。</w:t>
      </w:r>
    </w:p>
    <w:p w14:paraId="4EBD4A26">
      <w:pPr>
        <w:spacing w:line="360" w:lineRule="auto"/>
        <w:rPr>
          <w:rFonts w:asciiTheme="minorEastAsia" w:hAnsiTheme="minorEastAsia"/>
          <w:sz w:val="24"/>
        </w:rPr>
      </w:pPr>
      <w:r>
        <w:rPr>
          <w:rFonts w:asciiTheme="minorEastAsia" w:hAnsiTheme="minorEastAsia"/>
          <w:sz w:val="24"/>
        </w:rPr>
        <w:t>5.3.</w:t>
      </w:r>
      <w:r>
        <w:rPr>
          <w:rFonts w:hint="eastAsia" w:asciiTheme="minorEastAsia" w:hAnsiTheme="minorEastAsia"/>
          <w:sz w:val="24"/>
        </w:rPr>
        <w:t>4 下沉式广场内的步道不宜设台阶， 禁止设置影响人员通行的障碍物， 当采用坡道形式时，坡道应符合现行国家标准有关规定。</w:t>
      </w:r>
    </w:p>
    <w:p w14:paraId="620443E7">
      <w:pPr>
        <w:spacing w:line="360" w:lineRule="auto"/>
        <w:rPr>
          <w:rFonts w:asciiTheme="minorEastAsia" w:hAnsiTheme="minorEastAsia"/>
          <w:sz w:val="24"/>
        </w:rPr>
      </w:pPr>
      <w:r>
        <w:rPr>
          <w:rFonts w:asciiTheme="minorEastAsia" w:hAnsiTheme="minorEastAsia"/>
          <w:sz w:val="24"/>
        </w:rPr>
        <w:t>5.3.5</w:t>
      </w:r>
      <w:r>
        <w:rPr>
          <w:rFonts w:hint="eastAsia" w:asciiTheme="minorEastAsia" w:hAnsiTheme="minorEastAsia"/>
          <w:sz w:val="24"/>
        </w:rPr>
        <w:t xml:space="preserve"> 下沉式广场应设置广场地面排水系统，采取排水、挡水及防洪措施。广场排水坡度不得坡向建筑门洞。</w:t>
      </w:r>
    </w:p>
    <w:p w14:paraId="38333164">
      <w:pPr>
        <w:spacing w:line="360" w:lineRule="auto"/>
        <w:rPr>
          <w:rFonts w:asciiTheme="minorEastAsia" w:hAnsiTheme="minorEastAsia"/>
          <w:sz w:val="24"/>
        </w:rPr>
      </w:pPr>
      <w:r>
        <w:rPr>
          <w:rFonts w:asciiTheme="minorEastAsia" w:hAnsiTheme="minorEastAsia"/>
          <w:sz w:val="24"/>
        </w:rPr>
        <w:t>5.3.6</w:t>
      </w:r>
      <w:r>
        <w:rPr>
          <w:rFonts w:hint="eastAsia" w:asciiTheme="minorEastAsia" w:hAnsiTheme="minorEastAsia"/>
          <w:sz w:val="24"/>
        </w:rPr>
        <w:t xml:space="preserve"> 下沉式广场宜设置自动扶梯，自动扶梯上下工作点前应预留集散空间，不得设置影响人员通行的障碍物。</w:t>
      </w:r>
    </w:p>
    <w:p w14:paraId="1E84DED8">
      <w:pPr>
        <w:spacing w:line="360" w:lineRule="auto"/>
        <w:rPr>
          <w:rFonts w:asciiTheme="minorEastAsia" w:hAnsiTheme="minorEastAsia"/>
          <w:sz w:val="24"/>
        </w:rPr>
      </w:pPr>
      <w:r>
        <w:rPr>
          <w:rFonts w:asciiTheme="minorEastAsia" w:hAnsiTheme="minorEastAsia"/>
          <w:sz w:val="24"/>
        </w:rPr>
        <w:t>5.3.</w:t>
      </w:r>
      <w:r>
        <w:rPr>
          <w:rFonts w:hint="eastAsia" w:asciiTheme="minorEastAsia" w:hAnsiTheme="minorEastAsia"/>
          <w:sz w:val="24"/>
        </w:rPr>
        <w:t>7 下沉式广场地面出入口应选择自然光较充足的方位，并宜与公共建筑、地下人行通道、其他地下商业空间地面出入口等结合设置，出入口宽度应与最大人流量相适应。</w:t>
      </w:r>
    </w:p>
    <w:p w14:paraId="6578E119">
      <w:pPr>
        <w:spacing w:line="360" w:lineRule="auto"/>
        <w:rPr>
          <w:rFonts w:asciiTheme="minorEastAsia" w:hAnsiTheme="minorEastAsia"/>
          <w:sz w:val="24"/>
        </w:rPr>
      </w:pPr>
      <w:r>
        <w:rPr>
          <w:rFonts w:asciiTheme="minorEastAsia" w:hAnsiTheme="minorEastAsia"/>
          <w:sz w:val="24"/>
        </w:rPr>
        <w:t>5.3.8</w:t>
      </w:r>
      <w:r>
        <w:rPr>
          <w:rFonts w:hint="eastAsia" w:asciiTheme="minorEastAsia" w:hAnsiTheme="minorEastAsia"/>
          <w:sz w:val="24"/>
        </w:rPr>
        <w:t xml:space="preserve"> 地面铺装应选择防滑、透水性良好、经济适用的材料， 可考虑便于区分空间、增强导向性的铺装颜色和图案。</w:t>
      </w:r>
    </w:p>
    <w:p w14:paraId="008ECD3A">
      <w:pPr>
        <w:spacing w:line="360" w:lineRule="auto"/>
        <w:rPr>
          <w:rFonts w:asciiTheme="minorEastAsia" w:hAnsiTheme="minorEastAsia"/>
          <w:sz w:val="24"/>
        </w:rPr>
      </w:pPr>
      <w:r>
        <w:rPr>
          <w:rFonts w:asciiTheme="minorEastAsia" w:hAnsiTheme="minorEastAsia"/>
          <w:sz w:val="24"/>
        </w:rPr>
        <w:t>5.3.9</w:t>
      </w:r>
      <w:r>
        <w:rPr>
          <w:rFonts w:hint="eastAsia" w:asciiTheme="minorEastAsia" w:hAnsiTheme="minorEastAsia"/>
          <w:sz w:val="24"/>
        </w:rPr>
        <w:t xml:space="preserve"> 下沉式广场可设置雕塑、壁画等公共艺术景观小品，尺度要与广场其他的景观配置相协调，使整个空间更统一，提升空间品质。</w:t>
      </w:r>
    </w:p>
    <w:p w14:paraId="59DE8F40">
      <w:pPr>
        <w:spacing w:line="360" w:lineRule="auto"/>
        <w:jc w:val="left"/>
        <w:rPr>
          <w:rFonts w:asciiTheme="minorEastAsia" w:hAnsiTheme="minorEastAsia"/>
          <w:sz w:val="24"/>
        </w:rPr>
      </w:pPr>
    </w:p>
    <w:p w14:paraId="78DE91B0">
      <w:pPr>
        <w:spacing w:line="360" w:lineRule="auto"/>
        <w:jc w:val="center"/>
        <w:outlineLvl w:val="1"/>
        <w:rPr>
          <w:rFonts w:ascii="黑体" w:hAnsi="黑体" w:eastAsia="黑体"/>
          <w:b/>
          <w:bCs/>
          <w:sz w:val="24"/>
        </w:rPr>
      </w:pPr>
      <w:bookmarkStart w:id="20" w:name="_Toc190693036"/>
      <w:r>
        <w:rPr>
          <w:rFonts w:hint="eastAsia" w:ascii="黑体" w:hAnsi="黑体" w:eastAsia="黑体"/>
          <w:b/>
          <w:bCs/>
          <w:sz w:val="24"/>
        </w:rPr>
        <w:t>5.</w:t>
      </w:r>
      <w:r>
        <w:rPr>
          <w:rFonts w:ascii="黑体" w:hAnsi="黑体" w:eastAsia="黑体"/>
          <w:b/>
          <w:bCs/>
          <w:sz w:val="24"/>
        </w:rPr>
        <w:t>4</w:t>
      </w:r>
      <w:r>
        <w:rPr>
          <w:rFonts w:hint="eastAsia" w:ascii="黑体" w:hAnsi="黑体" w:eastAsia="黑体"/>
          <w:b/>
          <w:bCs/>
          <w:sz w:val="24"/>
        </w:rPr>
        <w:t xml:space="preserve"> 地下中庭设计</w:t>
      </w:r>
      <w:bookmarkEnd w:id="20"/>
    </w:p>
    <w:p w14:paraId="1126599B">
      <w:pPr>
        <w:spacing w:line="360" w:lineRule="auto"/>
        <w:rPr>
          <w:rFonts w:asciiTheme="minorEastAsia" w:hAnsiTheme="minorEastAsia"/>
          <w:sz w:val="24"/>
        </w:rPr>
      </w:pPr>
    </w:p>
    <w:p w14:paraId="0EC22802">
      <w:pPr>
        <w:spacing w:line="360" w:lineRule="auto"/>
        <w:rPr>
          <w:rFonts w:asciiTheme="minorEastAsia" w:hAnsiTheme="minorEastAsia"/>
          <w:sz w:val="24"/>
        </w:rPr>
      </w:pPr>
      <w:r>
        <w:rPr>
          <w:rFonts w:asciiTheme="minorEastAsia" w:hAnsiTheme="minorEastAsia"/>
          <w:sz w:val="24"/>
        </w:rPr>
        <w:t>5.4.</w:t>
      </w: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地下中庭根据地面有无建筑的情况，可分为下沉型中庭和建筑下部中庭两类。</w:t>
      </w:r>
    </w:p>
    <w:p w14:paraId="47D1953F">
      <w:pPr>
        <w:spacing w:line="360" w:lineRule="auto"/>
        <w:rPr>
          <w:rFonts w:asciiTheme="minorEastAsia" w:hAnsiTheme="minorEastAsia"/>
          <w:sz w:val="24"/>
        </w:rPr>
      </w:pPr>
      <w:r>
        <w:rPr>
          <w:rFonts w:asciiTheme="minorEastAsia" w:hAnsiTheme="minorEastAsia"/>
          <w:sz w:val="24"/>
        </w:rPr>
        <w:t xml:space="preserve">5.4.2 </w:t>
      </w:r>
      <w:r>
        <w:rPr>
          <w:rFonts w:hint="eastAsia" w:asciiTheme="minorEastAsia" w:hAnsiTheme="minorEastAsia"/>
          <w:sz w:val="24"/>
        </w:rPr>
        <w:t>下沉型中庭顶部上方为室外空间，可将外部城市景观引人地下空间，充分改善地下空间的环境。</w:t>
      </w:r>
    </w:p>
    <w:p w14:paraId="212A53EF">
      <w:pPr>
        <w:spacing w:line="360" w:lineRule="auto"/>
        <w:rPr>
          <w:rFonts w:asciiTheme="minorEastAsia" w:hAnsiTheme="minorEastAsia"/>
          <w:sz w:val="24"/>
        </w:rPr>
      </w:pPr>
      <w:r>
        <w:rPr>
          <w:rFonts w:asciiTheme="minorEastAsia" w:hAnsiTheme="minorEastAsia"/>
          <w:sz w:val="24"/>
        </w:rPr>
        <w:t xml:space="preserve">5.4.3 </w:t>
      </w:r>
      <w:r>
        <w:rPr>
          <w:rFonts w:hint="eastAsia" w:asciiTheme="minorEastAsia" w:hAnsiTheme="minorEastAsia"/>
          <w:sz w:val="24"/>
        </w:rPr>
        <w:t>建筑下部中庭通常位于建筑地下空间的核心部分，也承担上部建筑自身的交通枢纽作用，是重要的立体交通转换节点空间，应合理统筹竖向与水平交通设计。</w:t>
      </w:r>
    </w:p>
    <w:p w14:paraId="67A42FEF">
      <w:pPr>
        <w:spacing w:line="360" w:lineRule="auto"/>
        <w:rPr>
          <w:rFonts w:asciiTheme="minorEastAsia" w:hAnsiTheme="minorEastAsia"/>
          <w:sz w:val="24"/>
        </w:rPr>
      </w:pPr>
      <w:r>
        <w:rPr>
          <w:rFonts w:asciiTheme="minorEastAsia" w:hAnsiTheme="minorEastAsia"/>
          <w:sz w:val="24"/>
        </w:rPr>
        <w:t>5.4.</w:t>
      </w:r>
      <w:r>
        <w:rPr>
          <w:rFonts w:hint="eastAsia" w:asciiTheme="minorEastAsia" w:hAnsiTheme="minorEastAsia"/>
          <w:sz w:val="24"/>
        </w:rPr>
        <w:t>4</w:t>
      </w:r>
      <w:r>
        <w:rPr>
          <w:rFonts w:asciiTheme="minorEastAsia" w:hAnsiTheme="minorEastAsia"/>
          <w:sz w:val="24"/>
        </w:rPr>
        <w:t xml:space="preserve"> </w:t>
      </w:r>
      <w:r>
        <w:rPr>
          <w:rFonts w:hint="eastAsia" w:asciiTheme="minorEastAsia" w:hAnsiTheme="minorEastAsia"/>
          <w:sz w:val="24"/>
        </w:rPr>
        <w:t>建筑下部中庭应与轨道交通车站站厅层形成水平连接，达到快速疏解人流、提高建筑地下空间的商业价值。</w:t>
      </w:r>
    </w:p>
    <w:p w14:paraId="41EB0B48">
      <w:pPr>
        <w:spacing w:line="360" w:lineRule="auto"/>
        <w:rPr>
          <w:rFonts w:asciiTheme="minorEastAsia" w:hAnsiTheme="minorEastAsia"/>
          <w:sz w:val="24"/>
        </w:rPr>
      </w:pPr>
      <w:r>
        <w:rPr>
          <w:rFonts w:asciiTheme="minorEastAsia" w:hAnsiTheme="minorEastAsia"/>
          <w:sz w:val="24"/>
        </w:rPr>
        <w:t>5.4.</w:t>
      </w:r>
      <w:r>
        <w:rPr>
          <w:rFonts w:hint="eastAsia" w:asciiTheme="minorEastAsia" w:hAnsiTheme="minorEastAsia"/>
          <w:sz w:val="24"/>
        </w:rPr>
        <w:t>5</w:t>
      </w:r>
      <w:r>
        <w:rPr>
          <w:rFonts w:asciiTheme="minorEastAsia" w:hAnsiTheme="minorEastAsia"/>
          <w:sz w:val="24"/>
        </w:rPr>
        <w:t xml:space="preserve"> </w:t>
      </w:r>
      <w:r>
        <w:rPr>
          <w:rFonts w:hint="eastAsia" w:asciiTheme="minorEastAsia" w:hAnsiTheme="minorEastAsia"/>
          <w:sz w:val="24"/>
        </w:rPr>
        <w:t>地下中庭应根据人流需求设置充足的垂直交通设施，包括楼梯、电梯、自动扶梯。</w:t>
      </w:r>
    </w:p>
    <w:p w14:paraId="1173F110">
      <w:pPr>
        <w:spacing w:line="360" w:lineRule="auto"/>
        <w:rPr>
          <w:rFonts w:asciiTheme="minorEastAsia" w:hAnsiTheme="minorEastAsia"/>
          <w:sz w:val="24"/>
        </w:rPr>
      </w:pPr>
      <w:r>
        <w:rPr>
          <w:rFonts w:asciiTheme="minorEastAsia" w:hAnsiTheme="minorEastAsia"/>
          <w:sz w:val="24"/>
        </w:rPr>
        <w:t xml:space="preserve">5.4.6 </w:t>
      </w:r>
      <w:r>
        <w:rPr>
          <w:rFonts w:hint="eastAsia" w:asciiTheme="minorEastAsia" w:hAnsiTheme="minorEastAsia"/>
          <w:sz w:val="24"/>
        </w:rPr>
        <w:t>地下中庭顶部宜设置可开启的天窗，满足地下空间自然排烟的技术要求，可以采用光导管技术，引人自然光源。</w:t>
      </w:r>
    </w:p>
    <w:p w14:paraId="6A568B09"/>
    <w:p w14:paraId="77FFEFED">
      <w:pPr>
        <w:spacing w:line="360" w:lineRule="auto"/>
        <w:jc w:val="center"/>
        <w:outlineLvl w:val="1"/>
        <w:rPr>
          <w:rFonts w:ascii="黑体" w:hAnsi="黑体" w:eastAsia="黑体"/>
          <w:b/>
          <w:bCs/>
          <w:sz w:val="24"/>
        </w:rPr>
      </w:pPr>
      <w:bookmarkStart w:id="21" w:name="_Toc10924"/>
      <w:bookmarkStart w:id="22" w:name="_Toc190693037"/>
      <w:r>
        <w:rPr>
          <w:rFonts w:hint="eastAsia" w:ascii="黑体" w:hAnsi="黑体" w:eastAsia="黑体"/>
          <w:b/>
          <w:bCs/>
          <w:sz w:val="24"/>
        </w:rPr>
        <w:t>5</w:t>
      </w:r>
      <w:r>
        <w:rPr>
          <w:rFonts w:ascii="黑体" w:hAnsi="黑体" w:eastAsia="黑体"/>
          <w:b/>
          <w:bCs/>
          <w:sz w:val="24"/>
        </w:rPr>
        <w:t>.5</w:t>
      </w:r>
      <w:r>
        <w:rPr>
          <w:rFonts w:hint="eastAsia" w:ascii="黑体" w:hAnsi="黑体" w:eastAsia="黑体"/>
          <w:b/>
          <w:bCs/>
          <w:sz w:val="24"/>
        </w:rPr>
        <w:t xml:space="preserve"> 人性化</w:t>
      </w:r>
      <w:bookmarkEnd w:id="21"/>
      <w:r>
        <w:rPr>
          <w:rFonts w:hint="eastAsia" w:ascii="黑体" w:hAnsi="黑体" w:eastAsia="黑体"/>
          <w:b/>
          <w:bCs/>
          <w:sz w:val="24"/>
        </w:rPr>
        <w:t>设施提升</w:t>
      </w:r>
      <w:bookmarkEnd w:id="22"/>
    </w:p>
    <w:p w14:paraId="4C70390B"/>
    <w:p w14:paraId="79AF3F5B">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 xml:space="preserve">.5.1 </w:t>
      </w:r>
      <w:r>
        <w:rPr>
          <w:rFonts w:hint="eastAsia" w:asciiTheme="minorEastAsia" w:hAnsiTheme="minorEastAsia"/>
          <w:sz w:val="24"/>
        </w:rPr>
        <w:t>地下公共连通空间设计应坚持以人为本的原则，充分体现人文关怀，注重适老化和适幼化设计，满足不同人群的使用需求，提升使用者的整体体验，营造安全舒适和全年龄友好的通行环境。</w:t>
      </w:r>
    </w:p>
    <w:p w14:paraId="611420D2">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.3.</w:t>
      </w: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地下公共连通空间应在满足消防、防洪、疏散、人防等方面要求的基础上，结合具体使用场景和功能，从人性化角度出发，进一步提升安全性设计。</w:t>
      </w:r>
    </w:p>
    <w:p w14:paraId="3D61F405">
      <w:pPr>
        <w:spacing w:line="360" w:lineRule="auto"/>
        <w:ind w:firstLine="480" w:firstLineChars="200"/>
        <w:rPr>
          <w:rFonts w:asciiTheme="minorEastAsia" w:hAnsiTheme="minorEastAsia"/>
          <w:sz w:val="24"/>
        </w:rPr>
      </w:pPr>
      <w:r>
        <w:rPr>
          <w:rFonts w:hint="eastAsia" w:asciiTheme="minorEastAsia" w:hAnsiTheme="minorEastAsia"/>
          <w:sz w:val="24"/>
        </w:rPr>
        <w:t>1 地下通道的布局应尽可能简单，平面规整，避免过多的曲折和不必要的变化，以减少在紧急情况下的迷失和混乱。疏散通道网络应简单明了，主要通道的交汇点处应将空间放大，方便人们认知交通流线。</w:t>
      </w:r>
    </w:p>
    <w:p w14:paraId="187EF9D2">
      <w:pPr>
        <w:spacing w:line="360" w:lineRule="auto"/>
        <w:ind w:firstLine="480" w:firstLineChars="200"/>
        <w:rPr>
          <w:rFonts w:asciiTheme="minorEastAsia" w:hAnsiTheme="minorEastAsia"/>
          <w:sz w:val="24"/>
        </w:rPr>
      </w:pPr>
      <w:r>
        <w:rPr>
          <w:rFonts w:hint="eastAsia" w:asciiTheme="minorEastAsia" w:hAnsiTheme="minorEastAsia"/>
          <w:sz w:val="24"/>
        </w:rPr>
        <w:t>2 疏散出口、疏散指示标识、灭火设备和报警系统等安全设施，应避免过度装饰，确保易于识别和使用。</w:t>
      </w:r>
    </w:p>
    <w:p w14:paraId="7A410617">
      <w:pPr>
        <w:spacing w:line="360" w:lineRule="auto"/>
        <w:ind w:firstLine="480" w:firstLineChars="200"/>
        <w:rPr>
          <w:rFonts w:asciiTheme="minorEastAsia" w:hAnsiTheme="minorEastAsia"/>
          <w:sz w:val="24"/>
        </w:rPr>
      </w:pPr>
      <w:r>
        <w:rPr>
          <w:rFonts w:hint="eastAsia" w:asciiTheme="minorEastAsia" w:hAnsiTheme="minorEastAsia"/>
          <w:sz w:val="24"/>
        </w:rPr>
        <w:t>3 地下公共空间应设置充足的照明，提高安防监控设备的覆盖率，消除阴影空间，提升行人安全感。</w:t>
      </w:r>
    </w:p>
    <w:p w14:paraId="73057C09">
      <w:pPr>
        <w:spacing w:line="360" w:lineRule="auto"/>
        <w:ind w:firstLine="480" w:firstLineChars="200"/>
        <w:rPr>
          <w:rFonts w:asciiTheme="minorEastAsia" w:hAnsiTheme="minorEastAsia"/>
          <w:sz w:val="24"/>
        </w:rPr>
      </w:pPr>
      <w:r>
        <w:rPr>
          <w:rFonts w:hint="eastAsia" w:asciiTheme="minorEastAsia" w:hAnsiTheme="minorEastAsia"/>
          <w:sz w:val="24"/>
        </w:rPr>
        <w:t>4 通道通行区域不应设置障碍物和阻挡，门槛高差应满足无障碍通行要求，室内外交接区等雨雪天易湿滑区域应进一步提高地面防滑性，确保老年人、儿童、残疾人和其他行动不便者能够安全地通行。</w:t>
      </w:r>
    </w:p>
    <w:p w14:paraId="0A9E0124">
      <w:pPr>
        <w:spacing w:line="360" w:lineRule="auto"/>
        <w:ind w:firstLine="480" w:firstLineChars="200"/>
        <w:rPr>
          <w:rFonts w:asciiTheme="minorEastAsia" w:hAnsiTheme="minorEastAsia"/>
          <w:sz w:val="24"/>
        </w:rPr>
      </w:pPr>
      <w:r>
        <w:rPr>
          <w:rFonts w:hint="eastAsia" w:asciiTheme="minorEastAsia" w:hAnsiTheme="minorEastAsia"/>
          <w:sz w:val="24"/>
        </w:rPr>
        <w:t>5 在地下连通空间主要节点宜设置紧急医疗服务点或紧急医疗设备,如自动体外除颤器（AED）等。</w:t>
      </w:r>
    </w:p>
    <w:p w14:paraId="1F2343CB">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.3.</w:t>
      </w:r>
      <w:r>
        <w:rPr>
          <w:rFonts w:hint="eastAsia" w:asciiTheme="minorEastAsia" w:hAnsiTheme="minorEastAsia"/>
          <w:sz w:val="24"/>
        </w:rPr>
        <w:t>3</w:t>
      </w:r>
      <w:r>
        <w:rPr>
          <w:rFonts w:asciiTheme="minorEastAsia" w:hAnsiTheme="minorEastAsia"/>
          <w:sz w:val="24"/>
        </w:rPr>
        <w:t xml:space="preserve"> </w:t>
      </w:r>
      <w:r>
        <w:rPr>
          <w:rFonts w:hint="eastAsia" w:asciiTheme="minorEastAsia" w:hAnsiTheme="minorEastAsia"/>
          <w:sz w:val="24"/>
        </w:rPr>
        <w:t>地下公共连通空间应注重使用者的体验感受，提升空间舒适性。</w:t>
      </w:r>
    </w:p>
    <w:p w14:paraId="747764B3">
      <w:pPr>
        <w:spacing w:line="360" w:lineRule="auto"/>
        <w:ind w:firstLine="480" w:firstLineChars="200"/>
        <w:rPr>
          <w:rFonts w:asciiTheme="minorEastAsia" w:hAnsiTheme="minorEastAsia"/>
          <w:sz w:val="24"/>
        </w:rPr>
      </w:pPr>
      <w:r>
        <w:rPr>
          <w:rFonts w:hint="eastAsia" w:asciiTheme="minorEastAsia" w:hAnsiTheme="minorEastAsia"/>
          <w:sz w:val="24"/>
        </w:rPr>
        <w:t>1 地下连通空间应能够合理控制温湿度，保持空气清新，减少潮湿和异味。</w:t>
      </w:r>
    </w:p>
    <w:p w14:paraId="75D15BCF">
      <w:pPr>
        <w:spacing w:line="360" w:lineRule="auto"/>
        <w:ind w:firstLine="480" w:firstLineChars="200"/>
        <w:rPr>
          <w:rFonts w:asciiTheme="minorEastAsia" w:hAnsiTheme="minorEastAsia"/>
          <w:sz w:val="24"/>
        </w:rPr>
      </w:pPr>
      <w:r>
        <w:rPr>
          <w:rFonts w:hint="eastAsia" w:asciiTheme="minorEastAsia" w:hAnsiTheme="minorEastAsia"/>
          <w:sz w:val="24"/>
        </w:rPr>
        <w:t>2 地下连通空间墙面和地面材料应选用易于清洁、防滑且有一定吸音效果的材料，降低噪音污染。</w:t>
      </w:r>
    </w:p>
    <w:p w14:paraId="6ADF952B">
      <w:pPr>
        <w:spacing w:line="360" w:lineRule="auto"/>
        <w:ind w:firstLine="480" w:firstLineChars="200"/>
        <w:rPr>
          <w:rFonts w:asciiTheme="minorEastAsia" w:hAnsiTheme="minorEastAsia"/>
          <w:sz w:val="24"/>
        </w:rPr>
      </w:pPr>
      <w:r>
        <w:rPr>
          <w:rFonts w:hint="eastAsia" w:asciiTheme="minorEastAsia" w:hAnsiTheme="minorEastAsia"/>
          <w:sz w:val="24"/>
        </w:rPr>
        <w:t>3 地下连通空间应使用柔和的色彩搭配和舒适的照明设计，营造温馨而不压抑的氛围。</w:t>
      </w:r>
    </w:p>
    <w:p w14:paraId="7B0DFD44">
      <w:pPr>
        <w:spacing w:line="360" w:lineRule="auto"/>
        <w:ind w:firstLine="480" w:firstLineChars="200"/>
        <w:rPr>
          <w:rFonts w:asciiTheme="minorEastAsia" w:hAnsiTheme="minorEastAsia"/>
          <w:sz w:val="24"/>
        </w:rPr>
      </w:pPr>
      <w:r>
        <w:rPr>
          <w:rFonts w:asciiTheme="minorEastAsia" w:hAnsiTheme="minorEastAsia"/>
          <w:sz w:val="24"/>
        </w:rPr>
        <w:t xml:space="preserve">4 </w:t>
      </w:r>
      <w:r>
        <w:rPr>
          <w:rFonts w:hint="eastAsia" w:asciiTheme="minorEastAsia" w:hAnsiTheme="minorEastAsia"/>
          <w:sz w:val="24"/>
        </w:rPr>
        <w:t>照明系统的控制可考虑全部灯具照明、部分灯具照明、少量灯具深夜长明等不同要求，部分照明模式下也应保持足够的照度和舒适度。</w:t>
      </w:r>
    </w:p>
    <w:p w14:paraId="2FA1DD84">
      <w:pPr>
        <w:spacing w:line="360" w:lineRule="auto"/>
        <w:ind w:firstLine="480" w:firstLineChars="200"/>
        <w:rPr>
          <w:rFonts w:asciiTheme="minorEastAsia" w:hAnsiTheme="minorEastAsia"/>
          <w:sz w:val="24"/>
        </w:rPr>
      </w:pPr>
      <w:r>
        <w:rPr>
          <w:rFonts w:hint="eastAsia" w:asciiTheme="minorEastAsia" w:hAnsiTheme="minorEastAsia"/>
          <w:sz w:val="24"/>
        </w:rPr>
        <w:t>5</w:t>
      </w:r>
      <w:r>
        <w:rPr>
          <w:rFonts w:asciiTheme="minorEastAsia" w:hAnsiTheme="minorEastAsia"/>
          <w:sz w:val="24"/>
        </w:rPr>
        <w:t xml:space="preserve"> </w:t>
      </w:r>
      <w:r>
        <w:rPr>
          <w:rFonts w:hint="eastAsia" w:asciiTheme="minorEastAsia" w:hAnsiTheme="minorEastAsia"/>
          <w:sz w:val="24"/>
        </w:rPr>
        <w:t>与室外连通的出入口宜设置过渡照明，过渡照明宜优先使用自然光过渡，当自然光过渡不能满足要求时，宜增加人工照明过渡。</w:t>
      </w:r>
    </w:p>
    <w:p w14:paraId="426DD02E">
      <w:pPr>
        <w:spacing w:line="360" w:lineRule="auto"/>
        <w:ind w:firstLine="480" w:firstLineChars="200"/>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 </w:t>
      </w:r>
      <w:r>
        <w:rPr>
          <w:rFonts w:hint="eastAsia" w:asciiTheme="minorEastAsia" w:hAnsiTheme="minorEastAsia"/>
          <w:sz w:val="24"/>
        </w:rPr>
        <w:t>建议设置嵌入墙面装饰的广告灯箱，可适当利用广告灯箱补充地下通道内照度，但其位置、色彩不得干扰和影响导向及行人通行。</w:t>
      </w:r>
    </w:p>
    <w:p w14:paraId="408D6E8A">
      <w:pPr>
        <w:spacing w:line="360" w:lineRule="auto"/>
        <w:ind w:firstLine="480" w:firstLineChars="200"/>
        <w:rPr>
          <w:rFonts w:asciiTheme="minorEastAsia" w:hAnsiTheme="minorEastAsia"/>
          <w:sz w:val="24"/>
        </w:rPr>
      </w:pPr>
      <w:r>
        <w:rPr>
          <w:rFonts w:asciiTheme="minorEastAsia" w:hAnsiTheme="minorEastAsia"/>
          <w:sz w:val="24"/>
        </w:rPr>
        <w:t>7</w:t>
      </w:r>
      <w:r>
        <w:rPr>
          <w:rFonts w:hint="eastAsia" w:asciiTheme="minorEastAsia" w:hAnsiTheme="minorEastAsia"/>
          <w:sz w:val="24"/>
        </w:rPr>
        <w:t xml:space="preserve"> 在通道节点适当布置绿植或艺术装饰，增加自然元素和审美愉悦感。</w:t>
      </w:r>
    </w:p>
    <w:p w14:paraId="037D1328">
      <w:pPr>
        <w:spacing w:line="360" w:lineRule="auto"/>
        <w:ind w:firstLine="480" w:firstLineChars="200"/>
        <w:rPr>
          <w:rFonts w:asciiTheme="minorEastAsia" w:hAnsiTheme="minorEastAsia"/>
          <w:sz w:val="24"/>
        </w:rPr>
      </w:pPr>
      <w:r>
        <w:rPr>
          <w:rFonts w:asciiTheme="minorEastAsia" w:hAnsiTheme="minorEastAsia"/>
          <w:sz w:val="24"/>
        </w:rPr>
        <w:t>8</w:t>
      </w:r>
      <w:r>
        <w:rPr>
          <w:rFonts w:hint="eastAsia" w:asciiTheme="minorEastAsia" w:hAnsiTheme="minorEastAsia"/>
          <w:sz w:val="24"/>
        </w:rPr>
        <w:t xml:space="preserve"> 提倡在通道节点采用下沉绿地、采光天窗、天井等方式，弱化空间的封闭性，提高人的环境舒适度。</w:t>
      </w:r>
    </w:p>
    <w:p w14:paraId="167CA2F5">
      <w:pPr>
        <w:spacing w:line="360" w:lineRule="auto"/>
        <w:ind w:firstLine="480" w:firstLineChars="200"/>
        <w:rPr>
          <w:rFonts w:asciiTheme="minorEastAsia" w:hAnsiTheme="minorEastAsia"/>
          <w:sz w:val="24"/>
        </w:rPr>
      </w:pPr>
      <w:r>
        <w:rPr>
          <w:rFonts w:asciiTheme="minorEastAsia" w:hAnsiTheme="minorEastAsia"/>
          <w:sz w:val="24"/>
        </w:rPr>
        <w:t xml:space="preserve">9 </w:t>
      </w:r>
      <w:r>
        <w:rPr>
          <w:rFonts w:hint="eastAsia" w:asciiTheme="minorEastAsia" w:hAnsiTheme="minorEastAsia"/>
          <w:sz w:val="24"/>
        </w:rPr>
        <w:t>地下连通空间可根据需要采用光导管技术，通过室外的采光装置捕获日光，经光导装置强化并高效传输后，由漫射器将自然光均匀导入地下空间。</w:t>
      </w:r>
    </w:p>
    <w:p w14:paraId="381BF61E">
      <w:pPr>
        <w:spacing w:line="360" w:lineRule="auto"/>
        <w:ind w:firstLine="480" w:firstLineChars="20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0 </w:t>
      </w:r>
      <w:r>
        <w:rPr>
          <w:rFonts w:hint="eastAsia" w:asciiTheme="minorEastAsia" w:hAnsiTheme="minorEastAsia"/>
          <w:sz w:val="24"/>
        </w:rPr>
        <w:t>导向标识的设计应明显可见并注重环境协调性，可结合周边环境艺术化设置，可使用光电式导向标识或其他具有视觉吸引力的设计形式。</w:t>
      </w:r>
    </w:p>
    <w:p w14:paraId="6A15BA39">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.3.</w:t>
      </w:r>
      <w:r>
        <w:rPr>
          <w:rFonts w:hint="eastAsia" w:asciiTheme="minorEastAsia" w:hAnsiTheme="minorEastAsia"/>
          <w:sz w:val="24"/>
        </w:rPr>
        <w:t>4</w:t>
      </w:r>
      <w:r>
        <w:rPr>
          <w:rFonts w:asciiTheme="minorEastAsia" w:hAnsiTheme="minorEastAsia"/>
          <w:sz w:val="24"/>
        </w:rPr>
        <w:t xml:space="preserve"> </w:t>
      </w:r>
      <w:r>
        <w:rPr>
          <w:rFonts w:hint="eastAsia" w:asciiTheme="minorEastAsia" w:hAnsiTheme="minorEastAsia"/>
          <w:sz w:val="24"/>
        </w:rPr>
        <w:t>地下公共连通空间应根据实际需求，合理划分空间区域，设置公共服务设施，满足不同人群的多功能使用需求。</w:t>
      </w:r>
    </w:p>
    <w:p w14:paraId="028C367F">
      <w:pPr>
        <w:spacing w:line="360" w:lineRule="auto"/>
        <w:ind w:firstLine="480" w:firstLineChars="200"/>
        <w:rPr>
          <w:rFonts w:asciiTheme="minorEastAsia" w:hAnsiTheme="minorEastAsia"/>
          <w:sz w:val="24"/>
        </w:rPr>
      </w:pPr>
      <w:r>
        <w:rPr>
          <w:rFonts w:hint="eastAsia" w:asciiTheme="minorEastAsia" w:hAnsiTheme="minorEastAsia"/>
          <w:sz w:val="24"/>
        </w:rPr>
        <w:t>1 地下连通空间应结合周边建筑地下空间的使用功能，设置或补充商业及公共服务功能区，合理划分商业区、餐饮区、信息服务区等功能区域。</w:t>
      </w:r>
    </w:p>
    <w:p w14:paraId="3F76A7DE">
      <w:pPr>
        <w:spacing w:line="360" w:lineRule="auto"/>
        <w:ind w:firstLine="480" w:firstLineChars="200"/>
        <w:rPr>
          <w:rFonts w:asciiTheme="minorEastAsia" w:hAnsiTheme="minorEastAsia"/>
          <w:sz w:val="24"/>
        </w:rPr>
      </w:pPr>
      <w:r>
        <w:rPr>
          <w:rFonts w:hint="eastAsia" w:asciiTheme="minorEastAsia" w:hAnsiTheme="minorEastAsia"/>
          <w:sz w:val="24"/>
        </w:rPr>
        <w:t>2 优化配备必要的公共服务设施，如公共厕所、自动售货机、充电站等，提升使用便利性。</w:t>
      </w:r>
    </w:p>
    <w:p w14:paraId="5862E8FA">
      <w:pPr>
        <w:spacing w:line="360" w:lineRule="auto"/>
        <w:ind w:firstLine="480" w:firstLineChars="200"/>
        <w:rPr>
          <w:rFonts w:asciiTheme="minorEastAsia" w:hAnsiTheme="minorEastAsia"/>
          <w:sz w:val="24"/>
        </w:rPr>
      </w:pPr>
      <w:r>
        <w:rPr>
          <w:rFonts w:hint="eastAsia" w:asciiTheme="minorEastAsia" w:hAnsiTheme="minorEastAsia"/>
          <w:sz w:val="24"/>
        </w:rPr>
        <w:t>3 在通道节点增加休息区域，供老年人、孕妇和其他有需要的使用者休息。</w:t>
      </w:r>
    </w:p>
    <w:p w14:paraId="287D5BF5">
      <w:pPr>
        <w:spacing w:line="360" w:lineRule="auto"/>
        <w:ind w:firstLine="480" w:firstLineChars="200"/>
        <w:rPr>
          <w:rFonts w:asciiTheme="minorEastAsia" w:hAnsiTheme="minorEastAsia"/>
          <w:sz w:val="24"/>
        </w:rPr>
      </w:pPr>
      <w:r>
        <w:rPr>
          <w:rFonts w:hint="eastAsia" w:asciiTheme="minorEastAsia" w:hAnsiTheme="minorEastAsia"/>
          <w:sz w:val="24"/>
        </w:rPr>
        <w:t>4</w:t>
      </w:r>
      <w:r>
        <w:rPr>
          <w:rFonts w:asciiTheme="minorEastAsia" w:hAnsiTheme="minorEastAsia"/>
          <w:sz w:val="24"/>
        </w:rPr>
        <w:t xml:space="preserve"> </w:t>
      </w:r>
      <w:r>
        <w:rPr>
          <w:rFonts w:hint="eastAsia" w:asciiTheme="minorEastAsia" w:hAnsiTheme="minorEastAsia"/>
          <w:sz w:val="24"/>
        </w:rPr>
        <w:t>可结合空间节点预留设置图书角、音乐角、汇合点等灵活空间，增加地下连通空间的活力氛围。</w:t>
      </w:r>
    </w:p>
    <w:p w14:paraId="79E7F927">
      <w:pPr>
        <w:spacing w:line="360" w:lineRule="auto"/>
        <w:ind w:firstLine="480" w:firstLineChars="200"/>
        <w:rPr>
          <w:rFonts w:asciiTheme="minorEastAsia" w:hAnsiTheme="minorEastAsia"/>
          <w:sz w:val="24"/>
        </w:rPr>
      </w:pPr>
      <w:r>
        <w:rPr>
          <w:rFonts w:hint="eastAsia" w:asciiTheme="minorEastAsia" w:hAnsiTheme="minorEastAsia"/>
          <w:sz w:val="24"/>
        </w:rPr>
        <w:t>5</w:t>
      </w:r>
      <w:r>
        <w:rPr>
          <w:rFonts w:asciiTheme="minorEastAsia" w:hAnsiTheme="minorEastAsia"/>
          <w:sz w:val="24"/>
        </w:rPr>
        <w:t xml:space="preserve"> </w:t>
      </w:r>
      <w:r>
        <w:rPr>
          <w:rFonts w:hint="eastAsia" w:asciiTheme="minorEastAsia" w:hAnsiTheme="minorEastAsia"/>
          <w:sz w:val="24"/>
        </w:rPr>
        <w:t>导向标识系统应系统全面，能够及时向行人提供各功能设施的导航信息，同时标识设计应简洁明了，易于理解和识别，避免过多的文字或复杂的图案，注重图形化和直观性。</w:t>
      </w:r>
    </w:p>
    <w:p w14:paraId="5FE4283B">
      <w:pPr>
        <w:spacing w:line="360" w:lineRule="auto"/>
        <w:ind w:firstLine="480" w:firstLineChars="200"/>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 </w:t>
      </w:r>
      <w:r>
        <w:rPr>
          <w:rFonts w:hint="eastAsia" w:asciiTheme="minorEastAsia" w:hAnsiTheme="minorEastAsia"/>
          <w:sz w:val="24"/>
        </w:rPr>
        <w:t>对于商业中心、旅游景区等区域周边的地下空间，导向标识应支持多种语言，以满足不同国家游客的需求。</w:t>
      </w:r>
    </w:p>
    <w:p w14:paraId="673D9C6F">
      <w:pPr>
        <w:spacing w:line="360" w:lineRule="auto"/>
        <w:rPr>
          <w:rFonts w:asciiTheme="minorEastAsia" w:hAnsiTheme="minorEastAsia"/>
          <w:sz w:val="24"/>
        </w:rPr>
      </w:pPr>
      <w:r>
        <w:rPr>
          <w:rFonts w:hint="eastAsia" w:asciiTheme="minorEastAsia" w:hAnsiTheme="minorEastAsia"/>
          <w:sz w:val="24"/>
        </w:rPr>
        <w:t>5</w:t>
      </w:r>
      <w:r>
        <w:rPr>
          <w:rFonts w:asciiTheme="minorEastAsia" w:hAnsiTheme="minorEastAsia"/>
          <w:sz w:val="24"/>
        </w:rPr>
        <w:t>.3.</w:t>
      </w:r>
      <w:r>
        <w:rPr>
          <w:rFonts w:hint="eastAsia" w:asciiTheme="minorEastAsia" w:hAnsiTheme="minorEastAsia"/>
          <w:sz w:val="24"/>
        </w:rPr>
        <w:t>5</w:t>
      </w:r>
      <w:r>
        <w:rPr>
          <w:rFonts w:asciiTheme="minorEastAsia" w:hAnsiTheme="minorEastAsia"/>
          <w:sz w:val="24"/>
        </w:rPr>
        <w:t xml:space="preserve"> </w:t>
      </w:r>
      <w:r>
        <w:rPr>
          <w:rFonts w:hint="eastAsia" w:asciiTheme="minorEastAsia" w:hAnsiTheme="minorEastAsia"/>
          <w:sz w:val="24"/>
        </w:rPr>
        <w:t>地下连通空间应以适老化和适幼化设计提升为重点，进一步完善无障碍使用环境，打造全年龄友好的通行空间。</w:t>
      </w:r>
    </w:p>
    <w:p w14:paraId="22969EE4">
      <w:pPr>
        <w:spacing w:line="360" w:lineRule="auto"/>
        <w:ind w:firstLine="480" w:firstLineChars="200"/>
        <w:rPr>
          <w:rFonts w:asciiTheme="minorEastAsia" w:hAnsiTheme="minorEastAsia"/>
          <w:sz w:val="24"/>
        </w:rPr>
      </w:pPr>
      <w:r>
        <w:rPr>
          <w:rFonts w:hint="eastAsia" w:asciiTheme="minorEastAsia" w:hAnsiTheme="minorEastAsia"/>
          <w:sz w:val="24"/>
        </w:rPr>
        <w:t>1 地下连通空间的导向标识应清晰显著，易于识别，可适当采用对比强烈的颜色和字体，保障老年人可轻松识别；同时可补充其他特殊形式的导向指示，包括盲文标识、地面指示标志、触摸导航板等，以帮助视力受限或视觉障碍者定位和导航。</w:t>
      </w:r>
    </w:p>
    <w:p w14:paraId="14933687">
      <w:pPr>
        <w:spacing w:line="360" w:lineRule="auto"/>
        <w:ind w:firstLine="480" w:firstLineChars="200"/>
        <w:rPr>
          <w:rFonts w:asciiTheme="minorEastAsia" w:hAnsiTheme="minorEastAsia"/>
          <w:sz w:val="24"/>
        </w:rPr>
      </w:pPr>
      <w:r>
        <w:rPr>
          <w:rFonts w:hint="eastAsia" w:asciiTheme="minorEastAsia" w:hAnsiTheme="minorEastAsia"/>
          <w:sz w:val="24"/>
        </w:rPr>
        <w:t>2 无障碍入口、升降台、无障碍厕所等无障碍设施应充分考虑老年人和残疾人的身体机能和通行能力，提升使用细节体验。</w:t>
      </w:r>
    </w:p>
    <w:p w14:paraId="773091EF">
      <w:pPr>
        <w:spacing w:line="360" w:lineRule="auto"/>
        <w:ind w:firstLine="480" w:firstLineChars="200"/>
        <w:rPr>
          <w:rFonts w:asciiTheme="minorEastAsia" w:hAnsiTheme="minorEastAsia"/>
          <w:sz w:val="24"/>
        </w:rPr>
      </w:pPr>
      <w:r>
        <w:rPr>
          <w:rFonts w:hint="eastAsia" w:asciiTheme="minorEastAsia" w:hAnsiTheme="minorEastAsia"/>
          <w:sz w:val="24"/>
        </w:rPr>
        <w:t>3 地下连通空间宜提高母婴室和家庭卫生间的配置比例，为家庭出行提供便利性。</w:t>
      </w:r>
    </w:p>
    <w:p w14:paraId="6E5CF78A">
      <w:pPr>
        <w:spacing w:line="360" w:lineRule="auto"/>
        <w:ind w:firstLine="480" w:firstLineChars="200"/>
        <w:rPr>
          <w:rFonts w:asciiTheme="minorEastAsia" w:hAnsiTheme="minorEastAsia"/>
          <w:sz w:val="24"/>
        </w:rPr>
      </w:pPr>
      <w:r>
        <w:rPr>
          <w:rFonts w:hint="eastAsia" w:asciiTheme="minorEastAsia" w:hAnsiTheme="minorEastAsia"/>
          <w:sz w:val="24"/>
        </w:rPr>
        <w:t>4 普通卫生间中宜设置可供幼儿使用的洁具，如高度较低的小便斗和洗手台盆，提升幼儿使用便利性和卫生设施利用率。</w:t>
      </w:r>
    </w:p>
    <w:p w14:paraId="22CF716B">
      <w:pPr>
        <w:spacing w:line="360" w:lineRule="auto"/>
        <w:ind w:firstLine="480" w:firstLineChars="200"/>
        <w:rPr>
          <w:rFonts w:asciiTheme="minorEastAsia" w:hAnsiTheme="minorEastAsia"/>
          <w:sz w:val="24"/>
        </w:rPr>
      </w:pPr>
      <w:r>
        <w:rPr>
          <w:rFonts w:hint="eastAsia" w:asciiTheme="minorEastAsia" w:hAnsiTheme="minorEastAsia"/>
          <w:sz w:val="24"/>
        </w:rPr>
        <w:t>5 地下连通空间可结合休息区设置儿童游乐设施或互动装置，并运用鲜艳活泼的色彩进行装饰，增加通行过程中的趣味性。</w:t>
      </w:r>
    </w:p>
    <w:p w14:paraId="6A25957D">
      <w:pPr>
        <w:spacing w:line="360" w:lineRule="auto"/>
        <w:ind w:firstLine="480" w:firstLineChars="200"/>
        <w:rPr>
          <w:rFonts w:asciiTheme="minorEastAsia" w:hAnsiTheme="minorEastAsia"/>
          <w:sz w:val="24"/>
        </w:rPr>
      </w:pPr>
      <w:r>
        <w:rPr>
          <w:rFonts w:hint="eastAsia" w:asciiTheme="minorEastAsia" w:hAnsiTheme="minorEastAsia"/>
          <w:sz w:val="24"/>
        </w:rPr>
        <w:t>6 地下服务中心可提供便携式轮椅、推车等设施，方便携带婴儿或辅助老年人和行动不便者。</w:t>
      </w:r>
    </w:p>
    <w:p w14:paraId="3638986D">
      <w:pPr>
        <w:spacing w:line="360" w:lineRule="auto"/>
        <w:rPr>
          <w:rFonts w:asciiTheme="minorEastAsia" w:hAnsiTheme="minorEastAsia"/>
          <w:sz w:val="24"/>
        </w:rPr>
      </w:pPr>
    </w:p>
    <w:p w14:paraId="214ADDF6">
      <w:pPr>
        <w:spacing w:line="360" w:lineRule="auto"/>
        <w:rPr>
          <w:rFonts w:asciiTheme="minorEastAsia" w:hAnsiTheme="minorEastAsia"/>
          <w:sz w:val="24"/>
        </w:rPr>
      </w:pPr>
    </w:p>
    <w:p w14:paraId="241D8203">
      <w:pPr>
        <w:widowControl/>
        <w:jc w:val="left"/>
        <w:rPr>
          <w:rFonts w:asciiTheme="minorEastAsia" w:hAnsiTheme="minorEastAsia"/>
          <w:sz w:val="24"/>
        </w:rPr>
      </w:pPr>
      <w:r>
        <w:rPr>
          <w:rFonts w:asciiTheme="minorEastAsia" w:hAnsiTheme="minorEastAsia"/>
          <w:sz w:val="24"/>
        </w:rPr>
        <w:br w:type="page"/>
      </w:r>
    </w:p>
    <w:p w14:paraId="70D3E3F2"/>
    <w:p w14:paraId="261590AA">
      <w:pPr>
        <w:spacing w:line="360" w:lineRule="auto"/>
        <w:jc w:val="center"/>
        <w:outlineLvl w:val="0"/>
        <w:rPr>
          <w:rFonts w:ascii="黑体" w:hAnsi="黑体" w:eastAsia="黑体"/>
          <w:b/>
          <w:bCs/>
          <w:sz w:val="28"/>
          <w:szCs w:val="28"/>
        </w:rPr>
      </w:pPr>
      <w:bookmarkStart w:id="23" w:name="_Toc190693038"/>
      <w:r>
        <w:rPr>
          <w:rFonts w:hint="eastAsia" w:ascii="黑体" w:hAnsi="黑体" w:eastAsia="黑体"/>
          <w:b/>
          <w:bCs/>
          <w:sz w:val="28"/>
          <w:szCs w:val="28"/>
        </w:rPr>
        <w:t>6</w:t>
      </w:r>
      <w:r>
        <w:rPr>
          <w:rFonts w:ascii="黑体" w:hAnsi="黑体" w:eastAsia="黑体"/>
          <w:b/>
          <w:bCs/>
          <w:sz w:val="28"/>
          <w:szCs w:val="28"/>
        </w:rPr>
        <w:t xml:space="preserve"> </w:t>
      </w:r>
      <w:r>
        <w:rPr>
          <w:rFonts w:hint="eastAsia" w:ascii="黑体" w:hAnsi="黑体" w:eastAsia="黑体"/>
          <w:b/>
          <w:bCs/>
          <w:sz w:val="28"/>
          <w:szCs w:val="28"/>
        </w:rPr>
        <w:t>地上地下空间一体化设计</w:t>
      </w:r>
      <w:bookmarkEnd w:id="23"/>
    </w:p>
    <w:p w14:paraId="713AF682">
      <w:pPr>
        <w:rPr>
          <w:rFonts w:asciiTheme="minorEastAsia" w:hAnsiTheme="minorEastAsia"/>
          <w:sz w:val="24"/>
        </w:rPr>
      </w:pPr>
    </w:p>
    <w:p w14:paraId="2E049BD8">
      <w:pPr>
        <w:spacing w:line="360" w:lineRule="auto"/>
        <w:jc w:val="center"/>
        <w:outlineLvl w:val="1"/>
        <w:rPr>
          <w:rFonts w:ascii="黑体" w:hAnsi="黑体" w:eastAsia="黑体"/>
          <w:b/>
          <w:bCs/>
          <w:sz w:val="24"/>
        </w:rPr>
      </w:pPr>
      <w:bookmarkStart w:id="24" w:name="_Toc190693039"/>
      <w:r>
        <w:rPr>
          <w:rFonts w:hint="eastAsia" w:ascii="黑体" w:hAnsi="黑体" w:eastAsia="黑体"/>
          <w:b/>
          <w:bCs/>
          <w:sz w:val="24"/>
        </w:rPr>
        <w:t>6.</w:t>
      </w:r>
      <w:r>
        <w:rPr>
          <w:rFonts w:ascii="黑体" w:hAnsi="黑体" w:eastAsia="黑体"/>
          <w:b/>
          <w:bCs/>
          <w:sz w:val="24"/>
        </w:rPr>
        <w:t>1</w:t>
      </w:r>
      <w:r>
        <w:rPr>
          <w:rFonts w:hint="eastAsia" w:ascii="黑体" w:hAnsi="黑体" w:eastAsia="黑体"/>
          <w:b/>
          <w:bCs/>
          <w:sz w:val="24"/>
        </w:rPr>
        <w:t xml:space="preserve"> 建筑空间一体化</w:t>
      </w:r>
      <w:bookmarkEnd w:id="24"/>
    </w:p>
    <w:p w14:paraId="6CE7A75F">
      <w:pPr>
        <w:pStyle w:val="10"/>
      </w:pPr>
    </w:p>
    <w:p w14:paraId="7CC4E819">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.1.1 </w:t>
      </w:r>
      <w:r>
        <w:rPr>
          <w:rFonts w:hint="eastAsia" w:asciiTheme="minorEastAsia" w:hAnsiTheme="minorEastAsia"/>
          <w:sz w:val="24"/>
        </w:rPr>
        <w:t>在地上地下空间的开发建设中，应通过建筑空间一体化设计，实现地上和地下不同功能空间的连续性和整体性，创造出一个和谐、统一、富有特色的空间环境，提升整体的美观度和使用价值，促进区域内综合开发。</w:t>
      </w:r>
    </w:p>
    <w:p w14:paraId="058374C1">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.1.2 </w:t>
      </w:r>
      <w:r>
        <w:rPr>
          <w:rFonts w:hint="eastAsia" w:asciiTheme="minorEastAsia" w:hAnsiTheme="minorEastAsia"/>
          <w:sz w:val="24"/>
        </w:rPr>
        <w:t>建筑空间一体化设计应将地上和地下空间作为一个整体来考虑，实现两者在风格、主题、功能等方面的协调与统一，在功能上注重多区域的流线顺畅衔接，推进不同公共空间的界面融合，提升空间整体品质和出行体验。</w:t>
      </w:r>
    </w:p>
    <w:p w14:paraId="7E497361">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.1.3</w:t>
      </w:r>
      <w:r>
        <w:rPr>
          <w:rFonts w:hint="eastAsia" w:asciiTheme="minorEastAsia" w:hAnsiTheme="minorEastAsia"/>
          <w:sz w:val="24"/>
        </w:rPr>
        <w:t xml:space="preserve"> 建筑空间一体化设计应重视将地上自然元素引入地下空间，实现地上和地下空间景观的连续性和流动性。可以通过绿色中庭、生态墙、自然化水景、自然采光通风等方式，使自然元素与建筑相互呼应，将景观进行有机的串联，消除空间割裂感，形成与周边环境和谐共生整体空间。。</w:t>
      </w:r>
    </w:p>
    <w:p w14:paraId="48E4C6E8">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.1.4 </w:t>
      </w:r>
      <w:r>
        <w:rPr>
          <w:rFonts w:hint="eastAsia" w:asciiTheme="minorEastAsia" w:hAnsiTheme="minorEastAsia"/>
          <w:sz w:val="24"/>
        </w:rPr>
        <w:t>建筑空间一体化设计应注重融入当地文化元素，使空间景观具有地方特色和历史内涵。可以通过对当地文化的挖掘和传承，将文化元素融入设计的细节之中，并体现当代背景下的创新性和差异性，从而赋予地域文化新的生命力，提升整体空间的文化价值。</w:t>
      </w:r>
    </w:p>
    <w:p w14:paraId="2ED6DB13">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.1.5 </w:t>
      </w:r>
      <w:r>
        <w:rPr>
          <w:rFonts w:hint="eastAsia" w:asciiTheme="minorEastAsia" w:hAnsiTheme="minorEastAsia"/>
          <w:sz w:val="24"/>
        </w:rPr>
        <w:t>建筑空间一体化设计应必须兼顾近期建设需求和远期整体发展的规划，确保未来的扩展性和灵活性。</w:t>
      </w:r>
    </w:p>
    <w:p w14:paraId="57A41F3A">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.1.6</w:t>
      </w:r>
      <w:r>
        <w:rPr>
          <w:rFonts w:hint="eastAsia" w:asciiTheme="minorEastAsia" w:hAnsiTheme="minorEastAsia"/>
          <w:sz w:val="24"/>
        </w:rPr>
        <w:t xml:space="preserve"> 建筑空间一体化设计中，应注重可持续性原则。可以通过使用可再生资源、进行雨水收集与利用、采用节能技术等方式，实现空间景观的可持续发展。</w:t>
      </w:r>
    </w:p>
    <w:p w14:paraId="6566166B"/>
    <w:p w14:paraId="522DBC0C">
      <w:pPr>
        <w:spacing w:line="360" w:lineRule="auto"/>
        <w:jc w:val="center"/>
        <w:outlineLvl w:val="1"/>
        <w:rPr>
          <w:rFonts w:ascii="黑体" w:hAnsi="黑体" w:eastAsia="黑体"/>
          <w:b/>
          <w:bCs/>
          <w:sz w:val="24"/>
        </w:rPr>
      </w:pPr>
      <w:bookmarkStart w:id="25" w:name="_Toc190693040"/>
      <w:r>
        <w:rPr>
          <w:rFonts w:hint="eastAsia" w:ascii="黑体" w:hAnsi="黑体" w:eastAsia="黑体"/>
          <w:b/>
          <w:bCs/>
          <w:sz w:val="24"/>
        </w:rPr>
        <w:t>6.</w:t>
      </w:r>
      <w:r>
        <w:rPr>
          <w:rFonts w:ascii="黑体" w:hAnsi="黑体" w:eastAsia="黑体"/>
          <w:b/>
          <w:bCs/>
          <w:sz w:val="24"/>
        </w:rPr>
        <w:t>2</w:t>
      </w:r>
      <w:r>
        <w:rPr>
          <w:rFonts w:hint="eastAsia" w:ascii="黑体" w:hAnsi="黑体" w:eastAsia="黑体"/>
          <w:b/>
          <w:bCs/>
          <w:sz w:val="24"/>
        </w:rPr>
        <w:t xml:space="preserve"> 垂直交通一体化</w:t>
      </w:r>
      <w:bookmarkEnd w:id="25"/>
    </w:p>
    <w:p w14:paraId="2984C48F">
      <w:pPr>
        <w:spacing w:line="360" w:lineRule="auto"/>
        <w:rPr>
          <w:rFonts w:asciiTheme="minorEastAsia" w:hAnsiTheme="minorEastAsia"/>
          <w:sz w:val="24"/>
        </w:rPr>
      </w:pPr>
    </w:p>
    <w:p w14:paraId="78DFD9B2">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2</w:t>
      </w:r>
      <w:r>
        <w:rPr>
          <w:rFonts w:hint="eastAsia" w:asciiTheme="minorEastAsia" w:hAnsiTheme="minorEastAsia"/>
          <w:sz w:val="24"/>
        </w:rPr>
        <w:t>.1 在地上地下空间一体化的设计中，应注重垂直交通衔接设计，实现地上和地下空间的连续性和交通便利性，改善行人出行体验，促进地上地下空间一体化开发。</w:t>
      </w:r>
    </w:p>
    <w:p w14:paraId="1E391AAE">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2</w:t>
      </w:r>
      <w:r>
        <w:rPr>
          <w:rFonts w:hint="eastAsia" w:asciiTheme="minorEastAsia" w:hAnsiTheme="minorEastAsia"/>
          <w:sz w:val="24"/>
        </w:rPr>
        <w:t>.2 在规划和设计阶段，应合理组织垂直交通枢纽的布局与连接形式。</w:t>
      </w:r>
    </w:p>
    <w:p w14:paraId="17BDD2F1">
      <w:pPr>
        <w:spacing w:line="360" w:lineRule="auto"/>
        <w:ind w:firstLine="480" w:firstLineChars="200"/>
        <w:rPr>
          <w:rFonts w:asciiTheme="minorEastAsia" w:hAnsiTheme="minorEastAsia"/>
          <w:sz w:val="24"/>
        </w:rPr>
      </w:pPr>
      <w:r>
        <w:rPr>
          <w:rFonts w:hint="eastAsia" w:asciiTheme="minorEastAsia" w:hAnsiTheme="minorEastAsia"/>
          <w:sz w:val="24"/>
        </w:rPr>
        <w:t>1 在城市规划和交通规划中应考虑地上地下交通的垂直联系，确保各种交通系统（地铁、轻轨、公交等）的站点位置和线路布局能够与地面交通网络有机衔接，实现无缝连接。</w:t>
      </w:r>
    </w:p>
    <w:p w14:paraId="74225BD1">
      <w:pPr>
        <w:spacing w:line="360" w:lineRule="auto"/>
        <w:ind w:firstLine="480" w:firstLineChars="200"/>
        <w:rPr>
          <w:rFonts w:asciiTheme="minorEastAsia" w:hAnsiTheme="minorEastAsia"/>
          <w:sz w:val="24"/>
        </w:rPr>
      </w:pPr>
      <w:r>
        <w:rPr>
          <w:rFonts w:hint="eastAsia" w:asciiTheme="minorEastAsia" w:hAnsiTheme="minorEastAsia"/>
          <w:sz w:val="24"/>
        </w:rPr>
        <w:t>2 在地下交通系统和地面交通网络交汇处设置交通枢纽，包括公交站、地铁站、停车场等，提供便捷的换乘设施和服务，方便乘客在不同交通模式之间转换。</w:t>
      </w:r>
    </w:p>
    <w:p w14:paraId="0E77F475">
      <w:pPr>
        <w:spacing w:line="360" w:lineRule="auto"/>
        <w:ind w:firstLine="480" w:firstLineChars="200"/>
        <w:rPr>
          <w:rFonts w:asciiTheme="minorEastAsia" w:hAnsiTheme="minorEastAsia"/>
          <w:sz w:val="24"/>
        </w:rPr>
      </w:pPr>
      <w:r>
        <w:rPr>
          <w:rFonts w:hint="eastAsia" w:asciiTheme="minorEastAsia" w:hAnsiTheme="minorEastAsia"/>
          <w:sz w:val="24"/>
        </w:rPr>
        <w:t>3 在多层次的垂直交通体系中，可通过立体分流设计，将不同方向、不同楼层的人流进行有效分离，设置不同楼层的出入口和垂直交通工具，以引导人流按照既定路线流动，避免相互干扰。</w:t>
      </w:r>
    </w:p>
    <w:p w14:paraId="690C1332">
      <w:pPr>
        <w:spacing w:line="360" w:lineRule="auto"/>
        <w:ind w:firstLine="480" w:firstLineChars="200"/>
        <w:rPr>
          <w:rFonts w:asciiTheme="minorEastAsia" w:hAnsiTheme="minorEastAsia"/>
          <w:sz w:val="24"/>
        </w:rPr>
      </w:pPr>
      <w:r>
        <w:rPr>
          <w:rFonts w:hint="eastAsia" w:asciiTheme="minorEastAsia" w:hAnsiTheme="minorEastAsia"/>
          <w:sz w:val="24"/>
        </w:rPr>
        <w:t>4 垂直交通设计中应建立完善的标识系统，引导行人快速找到目的地和垂直交通工具。标识系统应清晰、醒目、易于理解，并符合国际通用标准。</w:t>
      </w:r>
    </w:p>
    <w:p w14:paraId="297ED6EE">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2</w:t>
      </w:r>
      <w:r>
        <w:rPr>
          <w:rFonts w:hint="eastAsia" w:asciiTheme="minorEastAsia" w:hAnsiTheme="minorEastAsia"/>
          <w:sz w:val="24"/>
        </w:rPr>
        <w:t>.3 在垂直交通一体化设计中，应合理设置多样化垂直交通工具，提高通行效率和舒适性。</w:t>
      </w:r>
    </w:p>
    <w:p w14:paraId="65A236A7">
      <w:pPr>
        <w:spacing w:line="360" w:lineRule="auto"/>
        <w:ind w:firstLine="480" w:firstLineChars="200"/>
        <w:rPr>
          <w:rFonts w:asciiTheme="minorEastAsia" w:hAnsiTheme="minorEastAsia"/>
          <w:sz w:val="24"/>
        </w:rPr>
      </w:pPr>
      <w:r>
        <w:rPr>
          <w:rFonts w:hint="eastAsia" w:asciiTheme="minorEastAsia" w:hAnsiTheme="minorEastAsia"/>
          <w:sz w:val="24"/>
        </w:rPr>
        <w:t>1 在满足基本安全疏散要求的基础上，合理排布楼梯的位置，减少主要使用场所到楼梯的通行距离，确保不同楼层之间的便捷联系。</w:t>
      </w:r>
    </w:p>
    <w:p w14:paraId="331003EC">
      <w:pPr>
        <w:spacing w:line="360" w:lineRule="auto"/>
        <w:ind w:firstLine="480" w:firstLineChars="200"/>
        <w:rPr>
          <w:rFonts w:asciiTheme="minorEastAsia" w:hAnsiTheme="minorEastAsia"/>
          <w:sz w:val="24"/>
        </w:rPr>
      </w:pPr>
      <w:r>
        <w:rPr>
          <w:rFonts w:hint="eastAsia" w:asciiTheme="minorEastAsia" w:hAnsiTheme="minorEastAsia"/>
          <w:sz w:val="24"/>
        </w:rPr>
        <w:t>2 高大空间中跨越多层且结构明露的楼梯，常作为空间视觉设计的重点，应在满足安全性要求的同时，提升其舒适性和美观性。</w:t>
      </w:r>
    </w:p>
    <w:p w14:paraId="360154CB">
      <w:pPr>
        <w:spacing w:line="360" w:lineRule="auto"/>
        <w:ind w:firstLine="480" w:firstLineChars="200"/>
        <w:rPr>
          <w:rFonts w:asciiTheme="minorEastAsia" w:hAnsiTheme="minorEastAsia"/>
          <w:sz w:val="24"/>
        </w:rPr>
      </w:pPr>
      <w:r>
        <w:rPr>
          <w:rFonts w:hint="eastAsia" w:asciiTheme="minorEastAsia" w:hAnsiTheme="minorEastAsia"/>
          <w:sz w:val="24"/>
        </w:rPr>
        <w:t>3 在地下连通空间主要出入口或购物中心、交通枢纽等空间较大且人员密集的场所，应根据需要设置自动扶梯。其位置布局应充分考虑人流动向和流量，上下口周边应留出充足的集散场地，确保通行顺畅无阻。</w:t>
      </w:r>
    </w:p>
    <w:p w14:paraId="148E639C">
      <w:pPr>
        <w:spacing w:line="360" w:lineRule="auto"/>
        <w:ind w:firstLine="480" w:firstLineChars="200"/>
        <w:rPr>
          <w:rFonts w:asciiTheme="minorEastAsia" w:hAnsiTheme="minorEastAsia"/>
          <w:sz w:val="24"/>
        </w:rPr>
      </w:pPr>
      <w:r>
        <w:rPr>
          <w:rFonts w:hint="eastAsia" w:asciiTheme="minorEastAsia" w:hAnsiTheme="minorEastAsia"/>
          <w:sz w:val="24"/>
        </w:rPr>
        <w:t>4 合理配置垂直电梯的数量和位置，满足多楼层、多功能的需求，同时充分考虑无障碍使用需求，以方便老年人、残障人士和携带行李的乘客使用。</w:t>
      </w:r>
    </w:p>
    <w:p w14:paraId="54DF0093">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2</w:t>
      </w:r>
      <w:r>
        <w:rPr>
          <w:rFonts w:hint="eastAsia" w:asciiTheme="minorEastAsia" w:hAnsiTheme="minorEastAsia"/>
          <w:sz w:val="24"/>
        </w:rPr>
        <w:t>.</w:t>
      </w:r>
      <w:r>
        <w:rPr>
          <w:rFonts w:asciiTheme="minorEastAsia" w:hAnsiTheme="minorEastAsia"/>
          <w:sz w:val="24"/>
        </w:rPr>
        <w:t>4</w:t>
      </w:r>
      <w:r>
        <w:rPr>
          <w:rFonts w:hint="eastAsia" w:asciiTheme="minorEastAsia" w:hAnsiTheme="minorEastAsia"/>
          <w:sz w:val="24"/>
        </w:rPr>
        <w:t xml:space="preserve"> 垂直交通一体化设计应重视信息共享，提高通行便利性。</w:t>
      </w:r>
    </w:p>
    <w:p w14:paraId="5E8BA6BF">
      <w:pPr>
        <w:spacing w:line="360" w:lineRule="auto"/>
        <w:ind w:firstLine="480" w:firstLineChars="20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统一票务系统和支付系统，实现地上地下交通的一卡通或移动支付功能，减少乘客换乘时的票务麻烦和时间浪费。</w:t>
      </w:r>
    </w:p>
    <w:p w14:paraId="5B0EF122">
      <w:pPr>
        <w:spacing w:line="360" w:lineRule="auto"/>
        <w:ind w:firstLine="480" w:firstLineChars="200"/>
        <w:rPr>
          <w:rFonts w:asciiTheme="minorEastAsia" w:hAnsiTheme="minorEastAsia"/>
          <w:sz w:val="24"/>
        </w:rPr>
      </w:pPr>
      <w:r>
        <w:rPr>
          <w:rFonts w:asciiTheme="minorEastAsia" w:hAnsiTheme="minorEastAsia"/>
          <w:sz w:val="24"/>
        </w:rPr>
        <w:t xml:space="preserve">2 </w:t>
      </w:r>
      <w:r>
        <w:rPr>
          <w:rFonts w:hint="eastAsia" w:asciiTheme="minorEastAsia" w:hAnsiTheme="minorEastAsia"/>
          <w:sz w:val="24"/>
        </w:rPr>
        <w:t>地上地下交通系统应该共享实时交通信息和换乘信息，让乘客能够及时获取到最新的交通动态和线路信息，选择最佳的出行方案。</w:t>
      </w:r>
    </w:p>
    <w:p w14:paraId="1A5EF123">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.2.5 </w:t>
      </w:r>
      <w:r>
        <w:rPr>
          <w:rFonts w:hint="eastAsia" w:asciiTheme="minorEastAsia" w:hAnsiTheme="minorEastAsia"/>
          <w:sz w:val="24"/>
        </w:rPr>
        <w:t>在地下交通系统和地面交通网络的衔接设计中考虑环境友好因素，比如减少土地占用、节能减排、绿色建筑等，促进城市可持续发展。</w:t>
      </w:r>
    </w:p>
    <w:p w14:paraId="2B2EBA03">
      <w:pPr>
        <w:spacing w:line="360" w:lineRule="auto"/>
        <w:rPr>
          <w:rFonts w:asciiTheme="minorEastAsia" w:hAnsiTheme="minorEastAsia"/>
          <w:sz w:val="24"/>
        </w:rPr>
      </w:pPr>
    </w:p>
    <w:p w14:paraId="67CFDA9A">
      <w:pPr>
        <w:spacing w:line="360" w:lineRule="auto"/>
        <w:jc w:val="center"/>
        <w:outlineLvl w:val="1"/>
        <w:rPr>
          <w:rFonts w:ascii="黑体" w:hAnsi="黑体" w:eastAsia="黑体"/>
          <w:b/>
          <w:bCs/>
          <w:sz w:val="24"/>
        </w:rPr>
      </w:pPr>
      <w:bookmarkStart w:id="26" w:name="_Toc190693041"/>
      <w:r>
        <w:rPr>
          <w:rFonts w:hint="eastAsia" w:ascii="黑体" w:hAnsi="黑体" w:eastAsia="黑体"/>
          <w:b/>
          <w:bCs/>
          <w:sz w:val="24"/>
        </w:rPr>
        <w:t>6.</w:t>
      </w:r>
      <w:r>
        <w:rPr>
          <w:rFonts w:ascii="黑体" w:hAnsi="黑体" w:eastAsia="黑体"/>
          <w:b/>
          <w:bCs/>
          <w:sz w:val="24"/>
        </w:rPr>
        <w:t>3</w:t>
      </w:r>
      <w:r>
        <w:rPr>
          <w:rFonts w:hint="eastAsia" w:ascii="黑体" w:hAnsi="黑体" w:eastAsia="黑体"/>
          <w:b/>
          <w:bCs/>
          <w:sz w:val="24"/>
        </w:rPr>
        <w:t xml:space="preserve"> 结构一体化</w:t>
      </w:r>
      <w:bookmarkEnd w:id="26"/>
    </w:p>
    <w:p w14:paraId="5CDC9DAC">
      <w:pPr>
        <w:spacing w:line="360" w:lineRule="auto"/>
        <w:rPr>
          <w:rFonts w:asciiTheme="minorEastAsia" w:hAnsiTheme="minorEastAsia"/>
          <w:sz w:val="24"/>
        </w:rPr>
      </w:pPr>
    </w:p>
    <w:p w14:paraId="0487167F">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.3.1 </w:t>
      </w:r>
      <w:r>
        <w:rPr>
          <w:rFonts w:hint="eastAsia" w:asciiTheme="minorEastAsia" w:hAnsiTheme="minorEastAsia"/>
          <w:sz w:val="24"/>
        </w:rPr>
        <w:t>在地上地下空间一体化的设计中，应注重结构一体化设计，确保地上和地下结构的连续性和稳定性，以提高整个建筑或设施的耐久性和安全性，为人们创造更加安全、可靠、稳定的通行环境。</w:t>
      </w:r>
    </w:p>
    <w:p w14:paraId="5C82B058">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.3.2 </w:t>
      </w:r>
      <w:r>
        <w:rPr>
          <w:rFonts w:hint="eastAsia" w:asciiTheme="minorEastAsia" w:hAnsiTheme="minorEastAsia"/>
          <w:sz w:val="24"/>
        </w:rPr>
        <w:t>结构类型应根据工程地质、水文地质、使用条件、荷载特性、施工工艺、环境等条件，并按规划要求、地上和地下空间的使用需求、地面交通组织及连通需求，本着结构安全、耐久、技术先进、经济合理的宗旨进行选择。</w:t>
      </w:r>
    </w:p>
    <w:p w14:paraId="1AA0F09C">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.3.3 </w:t>
      </w:r>
      <w:r>
        <w:rPr>
          <w:rFonts w:hint="eastAsia" w:asciiTheme="minorEastAsia" w:hAnsiTheme="minorEastAsia"/>
          <w:sz w:val="24"/>
        </w:rPr>
        <w:t>连通工程的结构建设时序宜贯彻一体化原则，满足下列要求：</w:t>
      </w:r>
    </w:p>
    <w:p w14:paraId="32214E34">
      <w:pPr>
        <w:spacing w:line="360" w:lineRule="auto"/>
        <w:ind w:firstLine="480" w:firstLineChars="200"/>
        <w:rPr>
          <w:rFonts w:asciiTheme="minorEastAsia" w:hAnsiTheme="minorEastAsia"/>
          <w:sz w:val="24"/>
        </w:rPr>
      </w:pPr>
      <w:r>
        <w:rPr>
          <w:rFonts w:hint="eastAsia" w:asciiTheme="minorEastAsia" w:hAnsiTheme="minorEastAsia"/>
          <w:sz w:val="24"/>
        </w:rPr>
        <w:t>1 连通工程宜与地下车站及周边地下空间同步规划、同步设计、同步施工。</w:t>
      </w:r>
    </w:p>
    <w:p w14:paraId="10713DE4">
      <w:pPr>
        <w:spacing w:line="360" w:lineRule="auto"/>
        <w:ind w:firstLine="480" w:firstLineChars="200"/>
        <w:rPr>
          <w:rFonts w:asciiTheme="minorEastAsia" w:hAnsiTheme="minorEastAsia"/>
          <w:sz w:val="24"/>
        </w:rPr>
      </w:pPr>
      <w:r>
        <w:rPr>
          <w:rFonts w:hint="eastAsia" w:asciiTheme="minorEastAsia" w:hAnsiTheme="minorEastAsia"/>
          <w:sz w:val="24"/>
        </w:rPr>
        <w:t>2 连通工程与地下车站或周边地下空间分期建设时，先建工程应预留连通条件。</w:t>
      </w:r>
    </w:p>
    <w:p w14:paraId="54370C43">
      <w:pPr>
        <w:spacing w:line="360" w:lineRule="auto"/>
        <w:ind w:firstLine="480" w:firstLineChars="200"/>
        <w:rPr>
          <w:rFonts w:asciiTheme="minorEastAsia" w:hAnsiTheme="minorEastAsia"/>
          <w:sz w:val="24"/>
        </w:rPr>
      </w:pPr>
      <w:r>
        <w:rPr>
          <w:rFonts w:hint="eastAsia" w:asciiTheme="minorEastAsia" w:hAnsiTheme="minorEastAsia"/>
          <w:sz w:val="24"/>
        </w:rPr>
        <w:t>3 连通工程与未预留接口的既有结构连接时，应对既有结构进行安全评估，论证连通工程实施的可行性。经评估确认需要加固时，应按照现行国家标准《混凝土结构加固设计规范》GB50367对既有结构采取加固措施。</w:t>
      </w:r>
    </w:p>
    <w:p w14:paraId="7A285145">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.3.4 </w:t>
      </w:r>
      <w:r>
        <w:rPr>
          <w:rFonts w:hint="eastAsia" w:asciiTheme="minorEastAsia" w:hAnsiTheme="minorEastAsia"/>
          <w:sz w:val="24"/>
        </w:rPr>
        <w:t>结构设计应按理论计算与工程实践相结合的原则，运用和引进地下工程施工的新技术、新工艺、新材料，更好的满足地上和地下结构的承载能力和耐久性要求。</w:t>
      </w:r>
    </w:p>
    <w:p w14:paraId="3CFFABDA">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.3.5 </w:t>
      </w:r>
      <w:r>
        <w:rPr>
          <w:rFonts w:hint="eastAsia" w:asciiTheme="minorEastAsia" w:hAnsiTheme="minorEastAsia"/>
          <w:sz w:val="24"/>
        </w:rPr>
        <w:t>在地上和地下结构的交接界面，应选择合适的连接方式，以确保地上和地下结构的稳定性和连续性，并采取相应的防水措施和抗变形措施。</w:t>
      </w:r>
    </w:p>
    <w:p w14:paraId="223C0318">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.3.6 </w:t>
      </w:r>
      <w:r>
        <w:rPr>
          <w:rFonts w:hint="eastAsia" w:asciiTheme="minorEastAsia" w:hAnsiTheme="minorEastAsia"/>
          <w:sz w:val="24"/>
        </w:rPr>
        <w:t>在进行基础设计时，应考虑地上和地下结构的整体性和稳定性要求。可以采用一体化设计的方法，将基础与主体结构进行整体考虑，以提高结构的整体性能。</w:t>
      </w:r>
    </w:p>
    <w:p w14:paraId="33437080">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.3.7 </w:t>
      </w:r>
      <w:r>
        <w:rPr>
          <w:rFonts w:hint="eastAsia" w:asciiTheme="minorEastAsia" w:hAnsiTheme="minorEastAsia"/>
          <w:sz w:val="24"/>
        </w:rPr>
        <w:t>在进行结构一体化的设计时，应充分考虑各种自然灾害和人为因素对结构的影响。应采取相应的抗力措施，以提高结构的抗灾能力和安全性。</w:t>
      </w:r>
    </w:p>
    <w:p w14:paraId="1C3B7032">
      <w:pPr>
        <w:spacing w:line="360" w:lineRule="auto"/>
        <w:rPr>
          <w:rFonts w:asciiTheme="minorEastAsia" w:hAnsiTheme="minorEastAsia"/>
          <w:sz w:val="24"/>
        </w:rPr>
      </w:pPr>
    </w:p>
    <w:p w14:paraId="6ACCED2F">
      <w:pPr>
        <w:spacing w:line="360" w:lineRule="auto"/>
        <w:jc w:val="center"/>
        <w:outlineLvl w:val="1"/>
        <w:rPr>
          <w:rFonts w:eastAsia="黑体" w:asciiTheme="minorEastAsia" w:hAnsiTheme="minorEastAsia"/>
          <w:b/>
          <w:bCs/>
          <w:sz w:val="24"/>
        </w:rPr>
      </w:pPr>
      <w:bookmarkStart w:id="27" w:name="_Toc190693042"/>
      <w:r>
        <w:rPr>
          <w:rFonts w:hint="eastAsia" w:ascii="黑体" w:hAnsi="黑体" w:eastAsia="黑体"/>
          <w:b/>
          <w:bCs/>
          <w:sz w:val="24"/>
        </w:rPr>
        <w:t>6.</w:t>
      </w:r>
      <w:r>
        <w:rPr>
          <w:rFonts w:ascii="黑体" w:hAnsi="黑体" w:eastAsia="黑体"/>
          <w:b/>
          <w:bCs/>
          <w:sz w:val="24"/>
        </w:rPr>
        <w:t>4</w:t>
      </w:r>
      <w:r>
        <w:rPr>
          <w:rFonts w:hint="eastAsia" w:ascii="黑体" w:hAnsi="黑体" w:eastAsia="黑体"/>
          <w:b/>
          <w:bCs/>
          <w:sz w:val="24"/>
        </w:rPr>
        <w:t xml:space="preserve"> 设施一体化</w:t>
      </w:r>
      <w:bookmarkEnd w:id="27"/>
    </w:p>
    <w:p w14:paraId="47E27832">
      <w:pPr>
        <w:spacing w:line="360" w:lineRule="auto"/>
        <w:rPr>
          <w:rFonts w:asciiTheme="minorEastAsia" w:hAnsiTheme="minorEastAsia"/>
          <w:sz w:val="24"/>
        </w:rPr>
      </w:pPr>
    </w:p>
    <w:p w14:paraId="3FDE38B1">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.4.1 </w:t>
      </w:r>
      <w:r>
        <w:rPr>
          <w:rFonts w:hint="eastAsia" w:asciiTheme="minorEastAsia" w:hAnsiTheme="minorEastAsia"/>
          <w:sz w:val="24"/>
        </w:rPr>
        <w:t>在地上地下空间一体化的设计中，应当以一体化原则综合考虑地上和地下的交通设施、商业设施、市政设施等各种城市设施的布局及设计，实现资源共享、功能互补，提高整个地下空间的利用效率和便利性，为人们创造更加舒适、便捷、高效的使用环境。</w:t>
      </w:r>
    </w:p>
    <w:p w14:paraId="4E2E8202">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.4.2 </w:t>
      </w:r>
      <w:r>
        <w:rPr>
          <w:rFonts w:hint="eastAsia" w:asciiTheme="minorEastAsia" w:hAnsiTheme="minorEastAsia"/>
          <w:sz w:val="24"/>
        </w:rPr>
        <w:t>设施一体化设计应注重功能性，统筹考虑区域内地上和地下各种功能设施的使用需求，合理规划布局，提升城市设施综合效益。</w:t>
      </w:r>
    </w:p>
    <w:p w14:paraId="373E7F99">
      <w:pPr>
        <w:spacing w:line="360" w:lineRule="auto"/>
        <w:ind w:firstLine="480" w:firstLineChars="200"/>
        <w:rPr>
          <w:rFonts w:asciiTheme="minorEastAsia" w:hAnsiTheme="minorEastAsia"/>
          <w:sz w:val="24"/>
        </w:rPr>
      </w:pPr>
      <w:r>
        <w:rPr>
          <w:rFonts w:hint="eastAsia" w:asciiTheme="minorEastAsia" w:hAnsiTheme="minorEastAsia"/>
          <w:sz w:val="24"/>
        </w:rPr>
        <w:t>1 地下连通空间应根据周边区域的使用需求，确定所需的设施类型，并充分考虑各种设施的功能性要求，确保地下连通空间内的各种设施与地上建筑及周边地块内设施在功能上相互补充、协调一致。</w:t>
      </w:r>
    </w:p>
    <w:p w14:paraId="279CC691">
      <w:pPr>
        <w:spacing w:line="360" w:lineRule="auto"/>
        <w:ind w:firstLine="480" w:firstLineChars="200"/>
        <w:rPr>
          <w:rFonts w:asciiTheme="minorEastAsia" w:hAnsiTheme="minorEastAsia"/>
          <w:sz w:val="24"/>
        </w:rPr>
      </w:pPr>
      <w:r>
        <w:rPr>
          <w:rFonts w:hint="eastAsia" w:asciiTheme="minorEastAsia" w:hAnsiTheme="minorEastAsia"/>
          <w:sz w:val="24"/>
        </w:rPr>
        <w:t>2 地下连通空间应充分考虑不同功能设施之间人流、物流的流动性和需求，合理规划各类设施的空间布局，提高地下空间的利用效率和便利性。</w:t>
      </w:r>
    </w:p>
    <w:p w14:paraId="75954FA7">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.4.</w:t>
      </w:r>
      <w:r>
        <w:rPr>
          <w:rFonts w:hint="eastAsia" w:asciiTheme="minorEastAsia" w:hAnsiTheme="minorEastAsia"/>
          <w:sz w:val="24"/>
        </w:rPr>
        <w:t>3</w:t>
      </w:r>
      <w:r>
        <w:rPr>
          <w:rFonts w:asciiTheme="minorEastAsia" w:hAnsiTheme="minorEastAsia"/>
          <w:sz w:val="24"/>
        </w:rPr>
        <w:t xml:space="preserve"> </w:t>
      </w:r>
      <w:r>
        <w:rPr>
          <w:rFonts w:hint="eastAsia" w:asciiTheme="minorEastAsia" w:hAnsiTheme="minorEastAsia"/>
          <w:sz w:val="24"/>
        </w:rPr>
        <w:t>设施一体化设计应注重系统性原则，保障地上与地下空间的整体性和连续性，完善设施的公共服务功能。</w:t>
      </w:r>
    </w:p>
    <w:p w14:paraId="182DEB90">
      <w:pPr>
        <w:spacing w:line="360" w:lineRule="auto"/>
        <w:ind w:firstLine="480" w:firstLineChars="200"/>
        <w:rPr>
          <w:rFonts w:asciiTheme="minorEastAsia" w:hAnsiTheme="minorEastAsia"/>
          <w:sz w:val="24"/>
        </w:rPr>
      </w:pPr>
      <w:r>
        <w:rPr>
          <w:rFonts w:hint="eastAsia" w:asciiTheme="minorEastAsia" w:hAnsiTheme="minorEastAsia"/>
          <w:sz w:val="24"/>
        </w:rPr>
        <w:t>1 地下连通空间在设计初期，应进行全面的统筹规划，考虑各种设施之间的相互影响和制约关系，确保设计的合理性和可行性。</w:t>
      </w:r>
    </w:p>
    <w:p w14:paraId="7EA5D41A">
      <w:pPr>
        <w:spacing w:line="360" w:lineRule="auto"/>
        <w:ind w:firstLine="480" w:firstLineChars="200"/>
        <w:rPr>
          <w:rFonts w:asciiTheme="minorEastAsia" w:hAnsiTheme="minorEastAsia"/>
          <w:sz w:val="24"/>
        </w:rPr>
      </w:pPr>
      <w:r>
        <w:rPr>
          <w:rFonts w:hint="eastAsia" w:asciiTheme="minorEastAsia" w:hAnsiTheme="minorEastAsia"/>
          <w:sz w:val="24"/>
        </w:rPr>
        <w:t>2 地下连通空间与地上建筑及周边地下空间中的各种设施系统应视为一个有机整体，确保各设施在设计、建设和运营过程中保持整体性和连续性。</w:t>
      </w:r>
    </w:p>
    <w:p w14:paraId="76CDE8B6">
      <w:pPr>
        <w:spacing w:line="360" w:lineRule="auto"/>
        <w:ind w:firstLine="480" w:firstLineChars="200"/>
        <w:rPr>
          <w:rFonts w:asciiTheme="minorEastAsia" w:hAnsiTheme="minorEastAsia"/>
          <w:sz w:val="24"/>
        </w:rPr>
      </w:pPr>
      <w:r>
        <w:rPr>
          <w:rFonts w:hint="eastAsia" w:asciiTheme="minorEastAsia" w:hAnsiTheme="minorEastAsia"/>
          <w:sz w:val="24"/>
        </w:rPr>
        <w:t>3 地下连通空间的设施设计应多专业协同，并于地上建筑的设计紧密协同和配合，确保设计方案的全面性和科学性。</w:t>
      </w:r>
    </w:p>
    <w:p w14:paraId="164DD12A">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.4.4 </w:t>
      </w:r>
      <w:r>
        <w:rPr>
          <w:rFonts w:hint="eastAsia" w:asciiTheme="minorEastAsia" w:hAnsiTheme="minorEastAsia"/>
          <w:sz w:val="24"/>
        </w:rPr>
        <w:t>设施一体化设计应注重各类设施的整合与协同，充分考虑设施之间的共享可能性，通过设施的共享，减少资源的浪费和重复建设，提高地下空间的利用效率。</w:t>
      </w:r>
    </w:p>
    <w:p w14:paraId="7C8D62EA">
      <w:pPr>
        <w:spacing w:line="360" w:lineRule="auto"/>
        <w:ind w:firstLine="480" w:firstLineChars="20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地下连通空间应综合考虑地铁、地面道路、地下步行系统等交通设施的一体化设计与衔接，形成相互连接、便捷高效的地上地下多层次交通网络，缓解地面交通压力，提高城市交通效率。</w:t>
      </w:r>
    </w:p>
    <w:p w14:paraId="60F57D1C">
      <w:pPr>
        <w:spacing w:line="360" w:lineRule="auto"/>
        <w:ind w:firstLine="480" w:firstLineChars="200"/>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在地下连通空间应与周边地块停车设施构建便利的交通联系，方便车辆停放和取用，充分盘活利用区域内停车资源，满足周边区域的停车需求。</w:t>
      </w:r>
    </w:p>
    <w:p w14:paraId="49487BC5">
      <w:pPr>
        <w:spacing w:line="360" w:lineRule="auto"/>
        <w:ind w:firstLine="480" w:firstLineChars="200"/>
        <w:rPr>
          <w:rFonts w:asciiTheme="minorEastAsia" w:hAnsiTheme="minorEastAsia"/>
          <w:sz w:val="24"/>
        </w:rPr>
      </w:pPr>
      <w:r>
        <w:rPr>
          <w:rFonts w:asciiTheme="minorEastAsia" w:hAnsiTheme="minorEastAsia"/>
          <w:sz w:val="24"/>
        </w:rPr>
        <w:t xml:space="preserve">3 </w:t>
      </w:r>
      <w:r>
        <w:rPr>
          <w:rFonts w:hint="eastAsia" w:asciiTheme="minorEastAsia" w:hAnsiTheme="minorEastAsia"/>
          <w:sz w:val="24"/>
        </w:rPr>
        <w:t>地下连通空间相关设施宜结合综合管廊建设,将地下空间以及周边地上建筑的给水、排水、电力、通信等市政管线纳入综合管廊，实现管线的集中敷设和管理。</w:t>
      </w:r>
    </w:p>
    <w:p w14:paraId="2B07802B">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.4.5</w:t>
      </w:r>
      <w:r>
        <w:rPr>
          <w:rFonts w:hint="eastAsia" w:asciiTheme="minorEastAsia" w:hAnsiTheme="minorEastAsia"/>
          <w:sz w:val="24"/>
        </w:rPr>
        <w:t>在设施一体化的设计中，应注重可持续性原则，通过采用节能技术、可再生资源等方式，实现地下空间的可持续发展。</w:t>
      </w:r>
    </w:p>
    <w:p w14:paraId="70D62247">
      <w:pPr>
        <w:spacing w:line="360" w:lineRule="auto"/>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在地下连通空间的设计中，通过设施一体化的合理布局和功能共享，充分提高地下空间的利用率，降低运营过程中的能源消耗和环境污染。</w:t>
      </w:r>
    </w:p>
    <w:p w14:paraId="63A8E53B">
      <w:pPr>
        <w:spacing w:line="360" w:lineRule="auto"/>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合理规划地下连通空间内的排水、通风等系统，实现资源的循环利用和废弃物的有效处理。</w:t>
      </w:r>
    </w:p>
    <w:p w14:paraId="5D5B6203">
      <w:pPr>
        <w:spacing w:line="360" w:lineRule="auto"/>
        <w:rPr>
          <w:rFonts w:asciiTheme="minorEastAsia" w:hAnsiTheme="minorEastAsia"/>
          <w:sz w:val="24"/>
        </w:rPr>
      </w:pPr>
      <w:r>
        <w:rPr>
          <w:rFonts w:hint="eastAsia" w:asciiTheme="minorEastAsia" w:hAnsiTheme="minorEastAsia"/>
          <w:sz w:val="24"/>
        </w:rPr>
        <w:t>3</w:t>
      </w:r>
      <w:r>
        <w:rPr>
          <w:rFonts w:asciiTheme="minorEastAsia" w:hAnsiTheme="minorEastAsia"/>
          <w:sz w:val="24"/>
        </w:rPr>
        <w:t xml:space="preserve"> </w:t>
      </w:r>
      <w:r>
        <w:rPr>
          <w:rFonts w:hint="eastAsia" w:asciiTheme="minorEastAsia" w:hAnsiTheme="minorEastAsia"/>
          <w:sz w:val="24"/>
        </w:rPr>
        <w:t>设施一体化设计应具有长期适应性，能够应对未来城市发展的变化和需求调整，保持设施整体的持续有效运行。</w:t>
      </w:r>
    </w:p>
    <w:p w14:paraId="26183774">
      <w:pPr>
        <w:spacing w:line="360" w:lineRule="auto"/>
        <w:rPr>
          <w:rFonts w:asciiTheme="minorEastAsia" w:hAnsiTheme="minorEastAsia"/>
          <w:sz w:val="24"/>
        </w:rPr>
      </w:pPr>
    </w:p>
    <w:p w14:paraId="673C2D09">
      <w:pPr>
        <w:spacing w:line="360" w:lineRule="auto"/>
        <w:jc w:val="center"/>
        <w:outlineLvl w:val="1"/>
        <w:rPr>
          <w:rFonts w:ascii="黑体" w:hAnsi="黑体" w:eastAsia="黑体"/>
          <w:b/>
          <w:bCs/>
          <w:sz w:val="24"/>
        </w:rPr>
      </w:pPr>
      <w:bookmarkStart w:id="28" w:name="_Toc190693043"/>
      <w:r>
        <w:rPr>
          <w:rFonts w:hint="eastAsia" w:ascii="黑体" w:hAnsi="黑体" w:eastAsia="黑体"/>
          <w:b/>
          <w:bCs/>
          <w:sz w:val="24"/>
        </w:rPr>
        <w:t>6.</w:t>
      </w:r>
      <w:r>
        <w:rPr>
          <w:rFonts w:ascii="黑体" w:hAnsi="黑体" w:eastAsia="黑体"/>
          <w:b/>
          <w:bCs/>
          <w:sz w:val="24"/>
        </w:rPr>
        <w:t>5</w:t>
      </w:r>
      <w:r>
        <w:rPr>
          <w:rFonts w:hint="eastAsia" w:ascii="黑体" w:hAnsi="黑体" w:eastAsia="黑体"/>
          <w:b/>
          <w:bCs/>
          <w:sz w:val="24"/>
        </w:rPr>
        <w:t xml:space="preserve"> 防灾一体化</w:t>
      </w:r>
      <w:bookmarkEnd w:id="28"/>
    </w:p>
    <w:p w14:paraId="016875C5">
      <w:pPr>
        <w:spacing w:line="360" w:lineRule="auto"/>
        <w:rPr>
          <w:rFonts w:asciiTheme="minorEastAsia" w:hAnsiTheme="minorEastAsia"/>
          <w:sz w:val="24"/>
        </w:rPr>
      </w:pPr>
    </w:p>
    <w:p w14:paraId="53F8FF16">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.5.1 </w:t>
      </w:r>
      <w:r>
        <w:rPr>
          <w:rFonts w:hint="eastAsia" w:asciiTheme="minorEastAsia" w:hAnsiTheme="minorEastAsia"/>
          <w:sz w:val="24"/>
        </w:rPr>
        <w:t>在地上地下空间的开发建设中，应通过防灾一体化设计，协调地下与地上空间的疏散避难体系，加强安全防护领域的资源共享，形成统一高效的防灾体系，提高整体空间安全性和土地利用率。</w:t>
      </w:r>
    </w:p>
    <w:p w14:paraId="256C6243">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.5.2 </w:t>
      </w:r>
      <w:r>
        <w:rPr>
          <w:rFonts w:hint="eastAsia" w:asciiTheme="minorEastAsia" w:hAnsiTheme="minorEastAsia"/>
          <w:sz w:val="24"/>
        </w:rPr>
        <w:t>地下公共连通空间应与地面建筑或室外地面之间构建简洁明确的疏散通道，形成快捷高效的疏散体系，确保人员在灾害发生时能够迅速撤离到安全区域。同时统筹设计疏散通道的数量和位置，在满足消防安全的前提下合理共用，促进地下空间高效利用。</w:t>
      </w:r>
    </w:p>
    <w:p w14:paraId="51D31BAB">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.5.3 </w:t>
      </w:r>
      <w:r>
        <w:rPr>
          <w:rFonts w:hint="eastAsia" w:asciiTheme="minorEastAsia" w:hAnsiTheme="minorEastAsia"/>
          <w:sz w:val="24"/>
        </w:rPr>
        <w:t>在防灾一体化设计中，应合理设置不同功能区域之间的防火分隔措施，通过优化设计削弱防火分隔对建筑空间造成的割裂感，保持空间和流线的整体性。</w:t>
      </w:r>
    </w:p>
    <w:p w14:paraId="427728B8">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.5.4 </w:t>
      </w:r>
      <w:r>
        <w:rPr>
          <w:rFonts w:hint="eastAsia" w:asciiTheme="minorEastAsia" w:hAnsiTheme="minorEastAsia"/>
          <w:sz w:val="24"/>
        </w:rPr>
        <w:t>在防灾一体化设计中，应统筹考虑综合监控、应急照明、消防给水、通风排烟等防灾系统，实现地上地下空间信息共享，以提高应急响应能力。</w:t>
      </w:r>
    </w:p>
    <w:p w14:paraId="4AD3E002">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.5.5</w:t>
      </w:r>
      <w:r>
        <w:rPr>
          <w:rFonts w:hint="eastAsia" w:asciiTheme="minorEastAsia" w:hAnsiTheme="minorEastAsia"/>
          <w:sz w:val="24"/>
        </w:rPr>
        <w:t xml:space="preserve"> 地下公共连通空间与地面建筑应制定一体化的防灾应急预案，设置统一的防灾标识系统，合理配置消防器材、通讯设备必要的防灾设备，确保在灾害发生时能够迅速启动应急预案，进行有效的疏散和救援工作。</w:t>
      </w:r>
    </w:p>
    <w:p w14:paraId="01C6243D">
      <w:pPr>
        <w:spacing w:line="360" w:lineRule="auto"/>
        <w:rPr>
          <w:rFonts w:asciiTheme="minorEastAsia" w:hAnsiTheme="minorEastAsia"/>
          <w:sz w:val="24"/>
        </w:rPr>
      </w:pPr>
      <w:r>
        <w:rPr>
          <w:rFonts w:hint="eastAsia" w:asciiTheme="minorEastAsia" w:hAnsiTheme="minorEastAsia"/>
          <w:sz w:val="24"/>
        </w:rPr>
        <w:t>6</w:t>
      </w:r>
      <w:r>
        <w:rPr>
          <w:rFonts w:asciiTheme="minorEastAsia" w:hAnsiTheme="minorEastAsia"/>
          <w:sz w:val="24"/>
        </w:rPr>
        <w:t xml:space="preserve">.5.6 </w:t>
      </w:r>
      <w:r>
        <w:rPr>
          <w:rFonts w:hint="eastAsia" w:asciiTheme="minorEastAsia" w:hAnsiTheme="minorEastAsia"/>
          <w:sz w:val="24"/>
        </w:rPr>
        <w:t>兼顾人防功能的地下公共连通空间，应根据城市人防工程建设相关要求统一部署，同步设计，并纳入城市人防防护体系。</w:t>
      </w:r>
    </w:p>
    <w:p w14:paraId="350B9968">
      <w:pPr>
        <w:spacing w:line="360" w:lineRule="auto"/>
        <w:rPr>
          <w:rFonts w:asciiTheme="minorEastAsia" w:hAnsiTheme="minorEastAsia"/>
          <w:sz w:val="24"/>
        </w:rPr>
      </w:pPr>
    </w:p>
    <w:p w14:paraId="51E89E3E">
      <w:pPr>
        <w:spacing w:line="360" w:lineRule="auto"/>
        <w:rPr>
          <w:rFonts w:asciiTheme="minorEastAsia" w:hAnsiTheme="minorEastAsia"/>
          <w:sz w:val="24"/>
        </w:rPr>
      </w:pPr>
    </w:p>
    <w:p w14:paraId="3095F7F3">
      <w:pPr>
        <w:widowControl/>
        <w:jc w:val="left"/>
        <w:rPr>
          <w:rFonts w:asciiTheme="minorEastAsia" w:hAnsiTheme="minorEastAsia"/>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1552261"/>
    </w:sdtPr>
    <w:sdtEndPr>
      <w:rPr>
        <w:sz w:val="24"/>
        <w:szCs w:val="24"/>
      </w:rPr>
    </w:sdtEndPr>
    <w:sdtContent>
      <w:p w14:paraId="2A4F2BFE">
        <w:pPr>
          <w:pStyle w:val="6"/>
          <w:jc w:val="center"/>
          <w:rPr>
            <w:sz w:val="24"/>
            <w:szCs w:val="24"/>
          </w:rPr>
        </w:pPr>
        <w:r>
          <w:rPr>
            <w:rFonts w:hint="eastAsia" w:ascii="宋体" w:hAnsi="宋体" w:eastAsia="宋体"/>
          </w:rPr>
          <w:t>－</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2</w:t>
        </w:r>
        <w:r>
          <w:rPr>
            <w:sz w:val="24"/>
            <w:szCs w:val="24"/>
          </w:rPr>
          <w:fldChar w:fldCharType="end"/>
        </w:r>
        <w:r>
          <w:rPr>
            <w:rFonts w:hint="eastAsia" w:ascii="宋体" w:hAnsi="宋体" w:eastAsia="宋体"/>
          </w:rPr>
          <w:t>－</w:t>
        </w:r>
      </w:p>
    </w:sdtContent>
  </w:sdt>
  <w:p w14:paraId="32F94208">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172A27"/>
    <w:rsid w:val="000004FE"/>
    <w:rsid w:val="00002336"/>
    <w:rsid w:val="0000511A"/>
    <w:rsid w:val="00026B2E"/>
    <w:rsid w:val="000272CD"/>
    <w:rsid w:val="000300E1"/>
    <w:rsid w:val="00032CE1"/>
    <w:rsid w:val="00061EA8"/>
    <w:rsid w:val="00073C72"/>
    <w:rsid w:val="0007601A"/>
    <w:rsid w:val="000A30AF"/>
    <w:rsid w:val="000B2A69"/>
    <w:rsid w:val="000B6041"/>
    <w:rsid w:val="000C5C05"/>
    <w:rsid w:val="000D62B7"/>
    <w:rsid w:val="000D6F64"/>
    <w:rsid w:val="000D71EA"/>
    <w:rsid w:val="000F4FFF"/>
    <w:rsid w:val="001068B6"/>
    <w:rsid w:val="00113F57"/>
    <w:rsid w:val="00126565"/>
    <w:rsid w:val="00143577"/>
    <w:rsid w:val="0015422B"/>
    <w:rsid w:val="001558D8"/>
    <w:rsid w:val="0015796D"/>
    <w:rsid w:val="00172870"/>
    <w:rsid w:val="00172A27"/>
    <w:rsid w:val="00181DDE"/>
    <w:rsid w:val="00185E1A"/>
    <w:rsid w:val="00187CC0"/>
    <w:rsid w:val="001B6B28"/>
    <w:rsid w:val="001C7484"/>
    <w:rsid w:val="001D307B"/>
    <w:rsid w:val="001E3D16"/>
    <w:rsid w:val="001E5179"/>
    <w:rsid w:val="001E6E54"/>
    <w:rsid w:val="00202C83"/>
    <w:rsid w:val="00203943"/>
    <w:rsid w:val="002312E3"/>
    <w:rsid w:val="002328DA"/>
    <w:rsid w:val="002335F2"/>
    <w:rsid w:val="00234199"/>
    <w:rsid w:val="002428C0"/>
    <w:rsid w:val="00242DCE"/>
    <w:rsid w:val="002556AF"/>
    <w:rsid w:val="002600F7"/>
    <w:rsid w:val="0027580F"/>
    <w:rsid w:val="0029174F"/>
    <w:rsid w:val="002B3AD5"/>
    <w:rsid w:val="002C4F1F"/>
    <w:rsid w:val="002D46AD"/>
    <w:rsid w:val="002D7595"/>
    <w:rsid w:val="002F208B"/>
    <w:rsid w:val="002F6987"/>
    <w:rsid w:val="0030457C"/>
    <w:rsid w:val="0030499C"/>
    <w:rsid w:val="00310108"/>
    <w:rsid w:val="00312F05"/>
    <w:rsid w:val="0031322E"/>
    <w:rsid w:val="0033799D"/>
    <w:rsid w:val="00344BE0"/>
    <w:rsid w:val="00352AE4"/>
    <w:rsid w:val="00362232"/>
    <w:rsid w:val="00362CF1"/>
    <w:rsid w:val="0037104E"/>
    <w:rsid w:val="00375354"/>
    <w:rsid w:val="003B17C8"/>
    <w:rsid w:val="003B2A44"/>
    <w:rsid w:val="003B3BE1"/>
    <w:rsid w:val="003D45D1"/>
    <w:rsid w:val="003E29CF"/>
    <w:rsid w:val="003E7224"/>
    <w:rsid w:val="003E7387"/>
    <w:rsid w:val="003F09BF"/>
    <w:rsid w:val="0041029F"/>
    <w:rsid w:val="0041087E"/>
    <w:rsid w:val="00410C79"/>
    <w:rsid w:val="004173A8"/>
    <w:rsid w:val="00421E3F"/>
    <w:rsid w:val="00437C2E"/>
    <w:rsid w:val="00461838"/>
    <w:rsid w:val="00464202"/>
    <w:rsid w:val="00465A5E"/>
    <w:rsid w:val="004744B8"/>
    <w:rsid w:val="00485506"/>
    <w:rsid w:val="004A56C2"/>
    <w:rsid w:val="004C04BA"/>
    <w:rsid w:val="004D4ED7"/>
    <w:rsid w:val="004F6450"/>
    <w:rsid w:val="00515C1F"/>
    <w:rsid w:val="005179D9"/>
    <w:rsid w:val="00522E74"/>
    <w:rsid w:val="0056236D"/>
    <w:rsid w:val="005665D7"/>
    <w:rsid w:val="005A10D4"/>
    <w:rsid w:val="005B29FA"/>
    <w:rsid w:val="005B6E01"/>
    <w:rsid w:val="005C7C02"/>
    <w:rsid w:val="005E563D"/>
    <w:rsid w:val="00622293"/>
    <w:rsid w:val="006318D9"/>
    <w:rsid w:val="006652B2"/>
    <w:rsid w:val="006C36E4"/>
    <w:rsid w:val="006F72DB"/>
    <w:rsid w:val="006F7BA9"/>
    <w:rsid w:val="00705069"/>
    <w:rsid w:val="00713165"/>
    <w:rsid w:val="007213AD"/>
    <w:rsid w:val="00734AD0"/>
    <w:rsid w:val="00746742"/>
    <w:rsid w:val="0075779A"/>
    <w:rsid w:val="00761261"/>
    <w:rsid w:val="0076202F"/>
    <w:rsid w:val="0076632F"/>
    <w:rsid w:val="00774387"/>
    <w:rsid w:val="0078021B"/>
    <w:rsid w:val="007A26CE"/>
    <w:rsid w:val="007A4132"/>
    <w:rsid w:val="007A7B40"/>
    <w:rsid w:val="007C04C7"/>
    <w:rsid w:val="007C462E"/>
    <w:rsid w:val="007C7085"/>
    <w:rsid w:val="007D5D68"/>
    <w:rsid w:val="007F42D4"/>
    <w:rsid w:val="00812776"/>
    <w:rsid w:val="00822D2D"/>
    <w:rsid w:val="00826438"/>
    <w:rsid w:val="008307C5"/>
    <w:rsid w:val="00843472"/>
    <w:rsid w:val="00872B6B"/>
    <w:rsid w:val="0089019E"/>
    <w:rsid w:val="00894AEE"/>
    <w:rsid w:val="008B64C6"/>
    <w:rsid w:val="008B7695"/>
    <w:rsid w:val="008B7C5E"/>
    <w:rsid w:val="008C06C3"/>
    <w:rsid w:val="008D36D9"/>
    <w:rsid w:val="008D600D"/>
    <w:rsid w:val="008F1EA1"/>
    <w:rsid w:val="008F2723"/>
    <w:rsid w:val="00903B44"/>
    <w:rsid w:val="009252C1"/>
    <w:rsid w:val="0092667C"/>
    <w:rsid w:val="00953C82"/>
    <w:rsid w:val="00983737"/>
    <w:rsid w:val="009A0060"/>
    <w:rsid w:val="009A17B6"/>
    <w:rsid w:val="009A28B8"/>
    <w:rsid w:val="009A42D6"/>
    <w:rsid w:val="009E0FE4"/>
    <w:rsid w:val="009E380A"/>
    <w:rsid w:val="009F5ACB"/>
    <w:rsid w:val="009F5CD4"/>
    <w:rsid w:val="00A00FB2"/>
    <w:rsid w:val="00A01BE7"/>
    <w:rsid w:val="00A05CA5"/>
    <w:rsid w:val="00A2246D"/>
    <w:rsid w:val="00A26D0C"/>
    <w:rsid w:val="00A32049"/>
    <w:rsid w:val="00A32832"/>
    <w:rsid w:val="00A37CE8"/>
    <w:rsid w:val="00A45E44"/>
    <w:rsid w:val="00A47737"/>
    <w:rsid w:val="00A47E5F"/>
    <w:rsid w:val="00A74302"/>
    <w:rsid w:val="00A75417"/>
    <w:rsid w:val="00AB25C8"/>
    <w:rsid w:val="00AB3590"/>
    <w:rsid w:val="00AB3ED0"/>
    <w:rsid w:val="00AB4842"/>
    <w:rsid w:val="00AC0631"/>
    <w:rsid w:val="00AC78D6"/>
    <w:rsid w:val="00AD2099"/>
    <w:rsid w:val="00B002FE"/>
    <w:rsid w:val="00B133BD"/>
    <w:rsid w:val="00B153D7"/>
    <w:rsid w:val="00B57B71"/>
    <w:rsid w:val="00B71ADB"/>
    <w:rsid w:val="00B76ED6"/>
    <w:rsid w:val="00BA151D"/>
    <w:rsid w:val="00BB1012"/>
    <w:rsid w:val="00BD3A35"/>
    <w:rsid w:val="00BE0548"/>
    <w:rsid w:val="00BF378F"/>
    <w:rsid w:val="00BF6472"/>
    <w:rsid w:val="00C00C29"/>
    <w:rsid w:val="00C2471B"/>
    <w:rsid w:val="00C440E8"/>
    <w:rsid w:val="00C51116"/>
    <w:rsid w:val="00C81358"/>
    <w:rsid w:val="00C91BC4"/>
    <w:rsid w:val="00C93093"/>
    <w:rsid w:val="00CB401A"/>
    <w:rsid w:val="00CC17CB"/>
    <w:rsid w:val="00CC7026"/>
    <w:rsid w:val="00CD4624"/>
    <w:rsid w:val="00CF5183"/>
    <w:rsid w:val="00D30E02"/>
    <w:rsid w:val="00D32637"/>
    <w:rsid w:val="00D36DE3"/>
    <w:rsid w:val="00D402FC"/>
    <w:rsid w:val="00D40A50"/>
    <w:rsid w:val="00D75210"/>
    <w:rsid w:val="00D76823"/>
    <w:rsid w:val="00DA623E"/>
    <w:rsid w:val="00DC172B"/>
    <w:rsid w:val="00DC4B37"/>
    <w:rsid w:val="00DC5D84"/>
    <w:rsid w:val="00DE78D2"/>
    <w:rsid w:val="00DF5F80"/>
    <w:rsid w:val="00E14FDF"/>
    <w:rsid w:val="00E356E2"/>
    <w:rsid w:val="00E4334B"/>
    <w:rsid w:val="00E72EAB"/>
    <w:rsid w:val="00E743A0"/>
    <w:rsid w:val="00E74803"/>
    <w:rsid w:val="00E8134A"/>
    <w:rsid w:val="00F156A2"/>
    <w:rsid w:val="00F20F5A"/>
    <w:rsid w:val="00F236EA"/>
    <w:rsid w:val="00F424B0"/>
    <w:rsid w:val="00F7253B"/>
    <w:rsid w:val="00F7379B"/>
    <w:rsid w:val="00F87783"/>
    <w:rsid w:val="00F97FAA"/>
    <w:rsid w:val="00FB7A60"/>
    <w:rsid w:val="00FC3BE3"/>
    <w:rsid w:val="00FC77B4"/>
    <w:rsid w:val="02B24A47"/>
    <w:rsid w:val="02B84C19"/>
    <w:rsid w:val="041F7A7F"/>
    <w:rsid w:val="04372F76"/>
    <w:rsid w:val="04A5362F"/>
    <w:rsid w:val="05CD29E8"/>
    <w:rsid w:val="05F01064"/>
    <w:rsid w:val="063B19E3"/>
    <w:rsid w:val="07643D83"/>
    <w:rsid w:val="08327D77"/>
    <w:rsid w:val="08A90F8B"/>
    <w:rsid w:val="0A1B4412"/>
    <w:rsid w:val="0BD227EE"/>
    <w:rsid w:val="0C4E2883"/>
    <w:rsid w:val="0EED0976"/>
    <w:rsid w:val="10EA5A04"/>
    <w:rsid w:val="11B0799D"/>
    <w:rsid w:val="145B1761"/>
    <w:rsid w:val="14F8174E"/>
    <w:rsid w:val="169C40E6"/>
    <w:rsid w:val="1CEF11E8"/>
    <w:rsid w:val="1DC8008F"/>
    <w:rsid w:val="1F9A3137"/>
    <w:rsid w:val="1FD16AEA"/>
    <w:rsid w:val="21BF6953"/>
    <w:rsid w:val="21DB3C6E"/>
    <w:rsid w:val="2243225C"/>
    <w:rsid w:val="236C3937"/>
    <w:rsid w:val="272828C0"/>
    <w:rsid w:val="28343692"/>
    <w:rsid w:val="283A6E54"/>
    <w:rsid w:val="285706B3"/>
    <w:rsid w:val="2B2F016B"/>
    <w:rsid w:val="2D5B09A8"/>
    <w:rsid w:val="2DD415A7"/>
    <w:rsid w:val="2EC83964"/>
    <w:rsid w:val="2F6C0443"/>
    <w:rsid w:val="313A69F5"/>
    <w:rsid w:val="31471ABB"/>
    <w:rsid w:val="319D5AB3"/>
    <w:rsid w:val="31D33ECA"/>
    <w:rsid w:val="32532826"/>
    <w:rsid w:val="36ED6D65"/>
    <w:rsid w:val="370A4EA2"/>
    <w:rsid w:val="389659C1"/>
    <w:rsid w:val="38A17A61"/>
    <w:rsid w:val="3E035F83"/>
    <w:rsid w:val="43801772"/>
    <w:rsid w:val="43CF3499"/>
    <w:rsid w:val="480F7789"/>
    <w:rsid w:val="4928340B"/>
    <w:rsid w:val="4B5A2108"/>
    <w:rsid w:val="4F6136B8"/>
    <w:rsid w:val="542D593B"/>
    <w:rsid w:val="554B19B7"/>
    <w:rsid w:val="554F139A"/>
    <w:rsid w:val="558F4F1C"/>
    <w:rsid w:val="55DF5437"/>
    <w:rsid w:val="59191FB5"/>
    <w:rsid w:val="5A4C51F4"/>
    <w:rsid w:val="5B141C81"/>
    <w:rsid w:val="5D3216E9"/>
    <w:rsid w:val="63BC31CB"/>
    <w:rsid w:val="63FB2B15"/>
    <w:rsid w:val="650F28A6"/>
    <w:rsid w:val="65804D09"/>
    <w:rsid w:val="66C464E6"/>
    <w:rsid w:val="69980FB4"/>
    <w:rsid w:val="6A1959EF"/>
    <w:rsid w:val="6C12693A"/>
    <w:rsid w:val="6C2D208A"/>
    <w:rsid w:val="6E2B272E"/>
    <w:rsid w:val="6E515757"/>
    <w:rsid w:val="6EF3589E"/>
    <w:rsid w:val="6FE119F9"/>
    <w:rsid w:val="70DD3CA4"/>
    <w:rsid w:val="71B94E57"/>
    <w:rsid w:val="721771CC"/>
    <w:rsid w:val="774D6046"/>
    <w:rsid w:val="779A70AE"/>
    <w:rsid w:val="77D637EA"/>
    <w:rsid w:val="788B4973"/>
    <w:rsid w:val="788F2CCD"/>
    <w:rsid w:val="7902329C"/>
    <w:rsid w:val="7CCB6781"/>
    <w:rsid w:val="7CEF4842"/>
    <w:rsid w:val="7EE62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Date"/>
    <w:basedOn w:val="1"/>
    <w:next w:val="1"/>
    <w:link w:val="20"/>
    <w:qFormat/>
    <w:uiPriority w:val="0"/>
    <w:pPr>
      <w:ind w:left="100" w:leftChars="2500"/>
    </w:pPr>
  </w:style>
  <w:style w:type="paragraph" w:styleId="5">
    <w:name w:val="Balloon Text"/>
    <w:basedOn w:val="1"/>
    <w:link w:val="21"/>
    <w:qFormat/>
    <w:uiPriority w:val="0"/>
    <w:rPr>
      <w:sz w:val="18"/>
      <w:szCs w:val="18"/>
    </w:rPr>
  </w:style>
  <w:style w:type="paragraph" w:styleId="6">
    <w:name w:val="footer"/>
    <w:basedOn w:val="1"/>
    <w:link w:val="18"/>
    <w:qFormat/>
    <w:uiPriority w:val="99"/>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paragraph" w:styleId="10">
    <w:name w:val="Normal (Web)"/>
    <w:basedOn w:val="1"/>
    <w:qFormat/>
    <w:uiPriority w:val="0"/>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026E5" w:themeColor="hyperlink"/>
      <w:u w:val="single"/>
      <w14:textFill>
        <w14:solidFill>
          <w14:schemeClr w14:val="hlink"/>
        </w14:solidFill>
      </w14:textFill>
    </w:rPr>
  </w:style>
  <w:style w:type="paragraph" w:customStyle="1" w:styleId="15">
    <w:name w:val="WPSOffice手动目录 1"/>
    <w:qFormat/>
    <w:uiPriority w:val="0"/>
    <w:rPr>
      <w:rFonts w:ascii="Times New Roman" w:hAnsi="Times New Roman" w:eastAsia="宋体" w:cs="Times New Roman"/>
      <w:lang w:val="en-US" w:eastAsia="zh-CN" w:bidi="ar-SA"/>
    </w:rPr>
  </w:style>
  <w:style w:type="paragraph" w:customStyle="1" w:styleId="16">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17">
    <w:name w:val="页眉 字符"/>
    <w:basedOn w:val="13"/>
    <w:link w:val="7"/>
    <w:qFormat/>
    <w:uiPriority w:val="0"/>
    <w:rPr>
      <w:rFonts w:asciiTheme="minorHAnsi" w:hAnsiTheme="minorHAnsi" w:eastAsiaTheme="minorEastAsia" w:cstheme="minorBidi"/>
      <w:kern w:val="2"/>
      <w:sz w:val="18"/>
      <w:szCs w:val="18"/>
    </w:rPr>
  </w:style>
  <w:style w:type="character" w:customStyle="1" w:styleId="18">
    <w:name w:val="页脚 字符"/>
    <w:basedOn w:val="13"/>
    <w:link w:val="6"/>
    <w:qFormat/>
    <w:uiPriority w:val="99"/>
    <w:rPr>
      <w:rFonts w:asciiTheme="minorHAnsi" w:hAnsiTheme="minorHAnsi" w:eastAsiaTheme="minorEastAsia" w:cstheme="minorBidi"/>
      <w:kern w:val="2"/>
      <w:sz w:val="18"/>
      <w:szCs w:val="18"/>
    </w:rPr>
  </w:style>
  <w:style w:type="paragraph" w:styleId="19">
    <w:name w:val="List Paragraph"/>
    <w:basedOn w:val="1"/>
    <w:qFormat/>
    <w:uiPriority w:val="99"/>
    <w:pPr>
      <w:ind w:firstLine="420" w:firstLineChars="200"/>
    </w:pPr>
  </w:style>
  <w:style w:type="character" w:customStyle="1" w:styleId="20">
    <w:name w:val="日期 字符"/>
    <w:basedOn w:val="13"/>
    <w:link w:val="4"/>
    <w:qFormat/>
    <w:uiPriority w:val="0"/>
    <w:rPr>
      <w:rFonts w:asciiTheme="minorHAnsi" w:hAnsiTheme="minorHAnsi" w:eastAsiaTheme="minorEastAsia" w:cstheme="minorBidi"/>
      <w:kern w:val="2"/>
      <w:sz w:val="21"/>
      <w:szCs w:val="24"/>
    </w:rPr>
  </w:style>
  <w:style w:type="character" w:customStyle="1" w:styleId="21">
    <w:name w:val="批注框文本 字符"/>
    <w:basedOn w:val="13"/>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B9129-AB4B-4691-9A95-E1257539F509}">
  <ds:schemaRefs/>
</ds:datastoreItem>
</file>

<file path=docProps/app.xml><?xml version="1.0" encoding="utf-8"?>
<Properties xmlns="http://schemas.openxmlformats.org/officeDocument/2006/extended-properties" xmlns:vt="http://schemas.openxmlformats.org/officeDocument/2006/docPropsVTypes">
  <Template>Normal.dotm</Template>
  <Pages>24</Pages>
  <Words>8000</Words>
  <Characters>8471</Characters>
  <Lines>110</Lines>
  <Paragraphs>31</Paragraphs>
  <TotalTime>3</TotalTime>
  <ScaleCrop>false</ScaleCrop>
  <LinksUpToDate>false</LinksUpToDate>
  <CharactersWithSpaces>8704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2025-02-17T05:55:00Z</dcterms:created>
  <dc:creator>xinjie.zhou</dc:creator>
  <cp:lastModifiedBy>吴欣泽</cp:lastModifiedBy>
  <cp:lastPrinted>2025-02-17T05:57:00Z</cp:lastPrinted>
  <dcterms:modified xsi:type="dcterms:W3CDTF">2025-11-11T07:34:12Z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35D90FE70EA1433485B1D655AA137B99_13</vt:lpwstr>
  </property>
  <property fmtid="{D5CDD505-2E9C-101B-9397-08002B2CF9AE}" pid="4" name="KSOTemplateDocerSaveRecord">
    <vt:lpwstr>eyJoZGlkIjoiNzAyODQyODAyMWE0M2ZjZWI5ODJjMGJjYzc1MjY4Y2YiLCJ1c2VySWQiOiIzNjAxMjUzMDIifQ==</vt:lpwstr>
  </property>
</Properties>
</file>