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金家堰站东北象限邻里中心地块</w:t>
      </w:r>
    </w:p>
    <w:p>
      <w:r>
        <w:t>地块编号：6-JJY-2026-001</w:t>
      </w:r>
    </w:p>
    <w:p>
      <w:r>
        <w:t>综合评分：3.0376</w:t>
      </w:r>
    </w:p>
    <w:p>
      <w:r>
        <w:t>联通等级：尽连地块</w:t>
      </w:r>
    </w:p>
    <w:p>
      <w:r>
        <w:t>推荐方式：地下主通道</w:t>
      </w:r>
    </w:p>
    <w:p>
      <w:r>
        <w:t>数据完整度：6/6</w:t>
      </w:r>
    </w:p>
    <w:p>
      <w:pPr>
        <w:pStyle w:val="Heading1"/>
      </w:pPr>
      <w:r>
        <w:t>1. 项目概况</w:t>
      </w:r>
    </w:p>
    <w:p>
      <w:r>
        <w:t>金家堰站东北象限邻里中心地块对应站点为金家堰，位于东北象限，圈层为200m核心开发区。地块业态为社区集中商业、社区卫生服务中心、文体活动中心、便民服务中心、老年及青少年活动中心，建筑面积约90000平方米。邻近出入口为3号出入口。</w:t>
      </w:r>
    </w:p>
    <w:p>
      <w:pPr>
        <w:pStyle w:val="Heading1"/>
      </w:pPr>
      <w:r>
        <w:t>2. 联通必要性评估结论</w:t>
      </w:r>
    </w:p>
    <w:p>
      <w:r>
        <w:t>本次按功能、区位、交通、地下四个维度进行参数化试算，功能属性 1.3359 分；区位属性 0.2814 分；交通属性 0.8487 分；地下属性 0.5716 分，综合得分为 3.0376 分，判定为尽连地块。优先推动连通，强制执行接口预留要求。</w:t>
      </w:r>
    </w:p>
    <w:p>
      <w:pPr>
        <w:pStyle w:val="Heading1"/>
      </w:pPr>
      <w:r>
        <w:t>3. 联通方式比选与推荐方案</w:t>
      </w:r>
    </w:p>
    <w:p>
      <w:r>
        <w:t>系统推荐采用地下主通道，推荐理由为：地块公共属性较强且具备实施条件，优先推动地下通道连通。。备选方案包括地下次通道、风雨连廊，可根据接口条件、建设资金、交通组织和风貌管控要求进一步比选。</w:t>
      </w:r>
    </w:p>
    <w:p>
      <w:pPr>
        <w:pStyle w:val="Heading1"/>
      </w:pPr>
      <w:r>
        <w:t>4. 方案设计核心技术要求</w:t>
      </w:r>
    </w:p>
    <w:p>
      <w:r>
        <w:t>地下主通道属于地下联通方式。核心技术要求包括：通行功能净宽不小于 5.0m，净高不小于 3.0m。；通行兼休憩或商业功能净高不小于 3.5m。；路径宜短直，减少多次弯折，节点处设置集散空间。；与车站非付费区、地块地下公共空间、防火分隔和运营界面一体化设计。</w:t>
      </w:r>
    </w:p>
    <w:p>
      <w:pPr>
        <w:pStyle w:val="Heading1"/>
      </w:pPr>
      <w:r>
        <w:t>5. 合规性要求说明</w:t>
      </w:r>
    </w:p>
    <w:p>
      <w:r>
        <w:t>方案应落实防火疏散、无障碍、结构安全、防水抗变形、通风排烟、导向标识和运营管理界面等要求；强制性条文、推荐值和适用条件需在规则库中保留来源追溯。</w:t>
      </w:r>
    </w:p>
    <w:p>
      <w:pPr>
        <w:pStyle w:val="Heading1"/>
      </w:pPr>
      <w:r>
        <w:t>6. 设计优化与实施建议</w:t>
      </w:r>
    </w:p>
    <w:p>
      <w:r>
        <w:t>资料完整性状态：当前核心评价字段完整。建议在方案深化前补齐站点客流、接口标高、出入口位置、地下空间功能、建设时序和特殊约束条件，并在报告中保留人工复核意见。</w:t>
      </w:r>
    </w:p>
    <w:p>
      <w:pPr>
        <w:pStyle w:val="Heading1"/>
      </w:pPr>
      <w:r>
        <w:t>规则口径说明</w:t>
      </w:r>
    </w:p>
    <w:p>
      <w:r>
        <w:t>本报告按《互联互通智能体研发工作方案0318.pptx》近期目标口径生成；旧示例报告仅作章节与表达参考。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