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金家堰邻里中心</w:t>
      </w:r>
    </w:p>
    <w:p>
      <w:r>
        <w:t>地块编号：6-JJY-2026-001</w:t>
      </w:r>
    </w:p>
    <w:p>
      <w:r>
        <w:t>综合评分：2.5306 / 62.03分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评分明细表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选项</w:t>
            </w:r>
          </w:p>
        </w:tc>
        <w:tc>
          <w:tcPr>
            <w:tcW w:type="dxa" w:w="1440"/>
          </w:tcPr>
          <w:p>
            <w:r>
              <w:t>原始分</w:t>
            </w:r>
          </w:p>
        </w:tc>
        <w:tc>
          <w:tcPr>
            <w:tcW w:type="dxa" w:w="1440"/>
          </w:tcPr>
          <w:p>
            <w:r>
              <w:t>权重</w:t>
            </w:r>
          </w:p>
        </w:tc>
        <w:tc>
          <w:tcPr>
            <w:tcW w:type="dxa" w:w="1440"/>
          </w:tcPr>
          <w:p>
            <w:r>
              <w:t>加权分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用地功能</w:t>
            </w:r>
          </w:p>
        </w:tc>
        <w:tc>
          <w:tcPr>
            <w:tcW w:type="dxa" w:w="1440"/>
          </w:tcPr>
          <w:p>
            <w:r>
              <w:t>重要医疗文体设施、综合商业、邻里中心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0.0795</w:t>
            </w:r>
          </w:p>
        </w:tc>
        <w:tc>
          <w:tcPr>
            <w:tcW w:type="dxa" w:w="1440"/>
          </w:tcPr>
          <w:p>
            <w:r>
              <w:t>0.318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开发强度</w:t>
            </w:r>
          </w:p>
        </w:tc>
        <w:tc>
          <w:tcPr>
            <w:tcW w:type="dxa" w:w="1440"/>
          </w:tcPr>
          <w:p>
            <w:r>
              <w:t>建筑面积 3 万-10 万平方米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0.3393</w:t>
            </w:r>
          </w:p>
        </w:tc>
        <w:tc>
          <w:tcPr>
            <w:tcW w:type="dxa" w:w="1440"/>
          </w:tcPr>
          <w:p>
            <w:r>
              <w:t>1.0179</w:t>
            </w:r>
          </w:p>
        </w:tc>
      </w:tr>
      <w:tr>
        <w:tc>
          <w:tcPr>
            <w:tcW w:type="dxa" w:w="1440"/>
          </w:tcPr>
          <w:p>
            <w:r>
              <w:t>区位属性</w:t>
            </w:r>
          </w:p>
        </w:tc>
        <w:tc>
          <w:tcPr>
            <w:tcW w:type="dxa" w:w="1440"/>
          </w:tcPr>
          <w:p>
            <w:r>
              <w:t>区位能级</w:t>
            </w:r>
          </w:p>
        </w:tc>
        <w:tc>
          <w:tcPr>
            <w:tcW w:type="dxa" w:w="1440"/>
          </w:tcPr>
          <w:p>
            <w:r>
              <w:t>社区级中心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0.1407</w:t>
            </w:r>
          </w:p>
        </w:tc>
        <w:tc>
          <w:tcPr>
            <w:tcW w:type="dxa" w:w="1440"/>
          </w:tcPr>
          <w:p>
            <w:r>
              <w:t>0.2814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出行客流</w:t>
            </w:r>
          </w:p>
        </w:tc>
        <w:tc>
          <w:tcPr>
            <w:tcW w:type="dxa" w:w="1440"/>
          </w:tcPr>
          <w:p>
            <w:r>
              <w:t>日均进站量小于 2500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高效换乘</w:t>
            </w:r>
          </w:p>
        </w:tc>
        <w:tc>
          <w:tcPr>
            <w:tcW w:type="dxa" w:w="1440"/>
          </w:tcPr>
          <w:p>
            <w:r>
              <w:t>一般站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0.0441</w:t>
            </w:r>
          </w:p>
        </w:tc>
        <w:tc>
          <w:tcPr>
            <w:tcW w:type="dxa" w:w="1440"/>
          </w:tcPr>
          <w:p>
            <w:r>
              <w:t>0.0882</w:t>
            </w:r>
          </w:p>
        </w:tc>
      </w:tr>
      <w:tr>
        <w:tc>
          <w:tcPr>
            <w:tcW w:type="dxa" w:w="1440"/>
          </w:tcPr>
          <w:p>
            <w:r>
              <w:t>地下属性</w:t>
            </w:r>
          </w:p>
        </w:tc>
        <w:tc>
          <w:tcPr>
            <w:tcW w:type="dxa" w:w="1440"/>
          </w:tcPr>
          <w:p>
            <w:r>
              <w:t>地下空间</w:t>
            </w:r>
          </w:p>
        </w:tc>
        <w:tc>
          <w:tcPr>
            <w:tcW w:type="dxa" w:w="1440"/>
          </w:tcPr>
          <w:p>
            <w:r>
              <w:t>有，功能为商业、公共服务、文体、商业+停车或 P+R 停车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0.1429</w:t>
            </w:r>
          </w:p>
        </w:tc>
        <w:tc>
          <w:tcPr>
            <w:tcW w:type="dxa" w:w="1440"/>
          </w:tcPr>
          <w:p>
            <w:r>
              <w:t>0.5716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项目概况</w:t>
      </w:r>
    </w:p>
    <w:p>
      <w:r>
        <w:t>金家堰邻里中心对应站点为金家堰，所属区划为工业园区，地块位置为金堰路东、东宏路北，圈层为200m核心开发区。地块业态为综合性社区邻里中心，用地面积约25000平方米，建筑面积约90000平方米，规划指标为容积率≤2.5，建筑密度≤50%，建筑限高60m。邻近出入口为3号口，日均客流为686 人次/日（每站每月日均进站.xlsx：2025-11日均进站）。站点侧已识别出入口 4 个，联通形式 地下通道、预留接口，问题记录 6 条。运营公司202604资料显示，站点出入口开放 4/4 个，运营管理 4 个；周边配套包括学校：人大附中苏州学校；住宅：仁恒华发雅苑</w:t>
        <w:br/>
        <w:t>（在建中 未开放）、月上海棠轩</w:t>
        <w:br/>
        <w:t>（在建中 未开放）；商业景点：玉皇宫。</w:t>
      </w:r>
    </w:p>
    <w:p>
      <w:pPr>
        <w:pStyle w:val="Heading1"/>
      </w:pPr>
      <w:r>
        <w:t>2. 联通必要性评估结论</w:t>
      </w:r>
    </w:p>
    <w:p>
      <w:r>
        <w:t>本次按功能、区位、交通、地下四个维度进行参数化试算，功能属性 1.3359 分；区位属性 0.2814 分；交通属性 0.3417 分；地下属性 0.5716 分，综合原始得分为 2.5306 分，折算百分制为 62.03 分，按 20260507 反馈的 80/60 阈值判定为尽连地块。必要性次之，应尽量联通；优先推动接口条件、建设协同和方案比选。客流记录覆盖至 2025-11，平均日均进站 541.71 人次/日。</w:t>
      </w:r>
    </w:p>
    <w:p>
      <w:pPr>
        <w:pStyle w:val="Heading1"/>
      </w:pPr>
      <w:r>
        <w:t>3. 联通方式比选与推荐方案</w:t>
      </w:r>
    </w:p>
    <w:p>
      <w:r>
        <w:t>系统推荐采用地下主通道，推荐理由为：地块公共属性较强且具备实施条件，优先推动地下通道连通。。备选方案包括地下次通道、风雨连廊，可根据接口条件、建设资金、交通组织和风貌管控要求进一步比选。</w:t>
      </w:r>
    </w:p>
    <w:p>
      <w:pPr>
        <w:pStyle w:val="Heading1"/>
      </w:pPr>
      <w:r>
        <w:t>4. 方案设计核心技术要求</w:t>
      </w:r>
    </w:p>
    <w:p>
      <w:r>
        <w:t>地下主通道属于地下联通方式。核心技术要求包括：通行功能净宽不小于 5.0m，净高不小于 3.0m。；通行兼休憩或商业功能净高不小于 3.5m。；路径宜短直，减少多次弯折，节点处设置集散空间。；与车站非付费区、地块地下公共空间、防火分隔和运营界面一体化设计。</w:t>
      </w:r>
    </w:p>
    <w:p>
      <w:pPr>
        <w:pStyle w:val="Heading1"/>
      </w:pPr>
      <w:r>
        <w:t>5. 合规性要求说明</w:t>
      </w:r>
    </w:p>
    <w:p>
      <w:r>
        <w:t>方案应落实防火疏散、无障碍、结构安全、防水抗变形、通风排烟、导向标识和运营管理界面等要求；强制性条文、推荐值和适用条件需在规则库中保留来源追溯。</w:t>
      </w:r>
    </w:p>
    <w:p>
      <w:pPr>
        <w:pStyle w:val="Heading1"/>
      </w:pPr>
      <w:r>
        <w:t>6. 设计优化与实施建议</w:t>
      </w:r>
    </w:p>
    <w:p>
      <w:r>
        <w:t>资料完整性状态：当前核心评价字段完整。建议在方案深化前补齐站点客流、接口标高、出入口位置、地下空间功能、建设时序和特殊约束条件，并在报告中保留人工复核意见。</w:t>
      </w:r>
    </w:p>
    <w:p>
      <w:pPr>
        <w:pStyle w:val="Heading1"/>
      </w:pPr>
      <w:r>
        <w:t>规则口径说明</w:t>
      </w:r>
    </w:p>
    <w:p>
      <w:r>
        <w:t>本报告按《互联互通智能体研发工作方案0318.pptx》近期目标口径生成；评分口径以20260507反馈和《评价因子赋值明细表.xlsx》为准，旧示例报告仅作章节与表达参考。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