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日均进站量小于 2500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对应站点为金家堰，所属区划为工业园区，地块位置为金堰路东、东宏路北，圈层为200m核心开发区。地块业态为综合性社区邻里中心，用地面积约25000平方米，建筑面积约90000平方米，规划指标为容积率≤2.5，建筑密度≤50%，建筑限高60m。邻近出入口为3号口，日均客流为686 人次/日（每站每月日均进站.xlsx：2025-11日均进站）。站点侧已识别出入口 4 个，联通形式 地下通道、预留接口，问题记录 6 条。运营公司202604资料显示，站点出入口开放 4/4 个，运营管理 4 个；周边配套包括学校：人大附中苏州学校；住宅：仁恒华发雅苑</w:t>
        <w:br/>
        <w:t>（在建中 未开放）、月上海棠轩</w:t>
        <w:br/>
        <w:t>（在建中 未开放）；商业景点：玉皇宫。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0.3417 分；地下属性 0.5716 分，原始加权分为 2.5306/4.0795，折算百分制为 62.03 分，按 20260507 反馈的 80/60 阈值判定为尽连地块。必要性次之，应尽量联通；优先推动接口条件、建设协同和方案比选。客流记录覆盖至 2025-11，平均日均进站 541.71 人次/日。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