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金家堰邻里中心</w:t>
      </w:r>
    </w:p>
    <w:p>
      <w:r>
        <w:t>地块编号：6-JJY-2026-001</w:t>
      </w:r>
    </w:p>
    <w:p>
      <w:r>
        <w:t>综合评分（百分制）：62.03分</w:t>
      </w:r>
    </w:p>
    <w:p>
      <w:r>
        <w:t>原始加权分：2.5306 / 4.0795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评分明细表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选项</w:t>
            </w:r>
          </w:p>
        </w:tc>
        <w:tc>
          <w:tcPr>
            <w:tcW w:type="dxa" w:w="1440"/>
          </w:tcPr>
          <w:p>
            <w:r>
              <w:t>原始分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加权分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用地功能</w:t>
            </w:r>
          </w:p>
        </w:tc>
        <w:tc>
          <w:tcPr>
            <w:tcW w:type="dxa" w:w="1440"/>
          </w:tcPr>
          <w:p>
            <w:r>
              <w:t>重要医疗文体设施、综合商业、邻里中心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0.0795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开发强度</w:t>
            </w:r>
          </w:p>
        </w:tc>
        <w:tc>
          <w:tcPr>
            <w:tcW w:type="dxa" w:w="1440"/>
          </w:tcPr>
          <w:p>
            <w:r>
              <w:t>建筑面积 3 万-10 万平方米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0.3393</w:t>
            </w:r>
          </w:p>
        </w:tc>
        <w:tc>
          <w:tcPr>
            <w:tcW w:type="dxa" w:w="1440"/>
          </w:tcPr>
          <w:p>
            <w:r>
              <w:t>1.0179</w:t>
            </w:r>
          </w:p>
        </w:tc>
      </w:tr>
      <w:tr>
        <w:tc>
          <w:tcPr>
            <w:tcW w:type="dxa" w:w="1440"/>
          </w:tcPr>
          <w:p>
            <w:r>
              <w:t>区位属性</w:t>
            </w:r>
          </w:p>
        </w:tc>
        <w:tc>
          <w:tcPr>
            <w:tcW w:type="dxa" w:w="1440"/>
          </w:tcPr>
          <w:p>
            <w:r>
              <w:t>区位能级</w:t>
            </w:r>
          </w:p>
        </w:tc>
        <w:tc>
          <w:tcPr>
            <w:tcW w:type="dxa" w:w="1440"/>
          </w:tcPr>
          <w:p>
            <w:r>
              <w:t>社区级中心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0.1407</w:t>
            </w:r>
          </w:p>
        </w:tc>
        <w:tc>
          <w:tcPr>
            <w:tcW w:type="dxa" w:w="1440"/>
          </w:tcPr>
          <w:p>
            <w:r>
              <w:t>0.2814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出行客流</w:t>
            </w:r>
          </w:p>
        </w:tc>
        <w:tc>
          <w:tcPr>
            <w:tcW w:type="dxa" w:w="1440"/>
          </w:tcPr>
          <w:p>
            <w:r>
              <w:t>日均进站量小于 2500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高效换乘</w:t>
            </w:r>
          </w:p>
        </w:tc>
        <w:tc>
          <w:tcPr>
            <w:tcW w:type="dxa" w:w="1440"/>
          </w:tcPr>
          <w:p>
            <w:r>
              <w:t>一般站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0.0441</w:t>
            </w:r>
          </w:p>
        </w:tc>
        <w:tc>
          <w:tcPr>
            <w:tcW w:type="dxa" w:w="1440"/>
          </w:tcPr>
          <w:p>
            <w:r>
              <w:t>0.0882</w:t>
            </w:r>
          </w:p>
        </w:tc>
      </w:tr>
      <w:tr>
        <w:tc>
          <w:tcPr>
            <w:tcW w:type="dxa" w:w="1440"/>
          </w:tcPr>
          <w:p>
            <w:r>
              <w:t>地下属性</w:t>
            </w:r>
          </w:p>
        </w:tc>
        <w:tc>
          <w:tcPr>
            <w:tcW w:type="dxa" w:w="1440"/>
          </w:tcPr>
          <w:p>
            <w:r>
              <w:t>地下空间</w:t>
            </w:r>
          </w:p>
        </w:tc>
        <w:tc>
          <w:tcPr>
            <w:tcW w:type="dxa" w:w="1440"/>
          </w:tcPr>
          <w:p>
            <w:r>
              <w:t>有，功能为商业、公共服务、文体、商业+停车或 P+R 停车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0.1429</w:t>
            </w:r>
          </w:p>
        </w:tc>
        <w:tc>
          <w:tcPr>
            <w:tcW w:type="dxa" w:w="1440"/>
          </w:tcPr>
          <w:p>
            <w:r>
              <w:t>0.5716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项目概况与资料边界</w:t>
      </w:r>
    </w:p>
    <w:p>
      <w:r>
        <w:t>金家堰邻里中心对应站点为金家堰，所属区划为工业园区，地块位置为金堰路东、东宏路北，圈层为200m核心开发区。地块业态为综合性社区邻里中心，用地面积约25000平方米，建筑面积约90000平方米，规划指标为容积率≤2.5，建筑密度≤50%，建筑限高60m。邻近出入口为3号口，日均客流为686 人次/日（每站每月日均进站.xlsx：2025-11日均进站）。站点侧已识别出入口 4 个，联通形式 地下通道、预留接口，问题记录 6 条。运营公司202604资料显示，站点出入口开放 4/4 个，运营管理 4 个；周边配套包括学校：人大附中苏州学校；住宅：仁恒华发雅苑</w:t>
        <w:br/>
        <w:t>（在建中 未开放）、月上海棠轩</w:t>
        <w:br/>
        <w:t>（在建中 未开放）；商业景点：玉皇宫。本段仅描述已入库事实和待补齐资料边界，不把周边配套线索直接等同为地块正式评分输入。</w:t>
      </w:r>
    </w:p>
    <w:p>
      <w:pPr>
        <w:pStyle w:val="Heading1"/>
      </w:pPr>
      <w:r>
        <w:t>2. 评价口径与引用依据</w:t>
      </w:r>
    </w:p>
    <w:p>
      <w:r>
        <w:t>本次评价以PPT工作方案、评价因子赋值表和20260507反馈为主控口径，引用依据包括：互联互通智能体研发工作方案0318.pptx（确定近期目标、评价到报告的工作流、规则优先级和试点交付边界。）；评价因子赋值明细表.xlsx（确定功能、区位、交通、地下四类维度、因子权重和选项赋值。）；20260507反馈（确认评分口径以Excel/PPT为准，早期样例报告仅作章节和表达参考。）；车站TOD级别划分整理.xlsx（提供金家堰的TOD级别、线路和区位能级。）；每站每月日均进站.xlsx（提供站点日均进站客流，用于交通属性中的出行客流因子。）；苏州地铁运营站点出入口、联通接口情况梳理统计表20260128.xlsx（提供出入口、接口、联通形式、开发进度和推进问题线索。）；运营公司车站出入口开放及周边配套统计表202604.xlsx（提供出入口开放、运营管理、周边学校/商业/住宅/公共设施等配套线索。）；苏州轨道交通站点周边地下公共联通空间设计细则-结题评审修改稿.docx（作为地下联通空间、接口、无障碍、消防、运营界面等设计控制要求的知识库来源。）。其中评分因子、权重和等级阈值由结构化规则引擎计算；设计细则、运营资料和周边配套作为解释、比选、风险识别和补齐项提示依据。</w:t>
      </w:r>
    </w:p>
    <w:p>
      <w:pPr>
        <w:pStyle w:val="Heading1"/>
      </w:pPr>
      <w:r>
        <w:t>3. 站点能级、客流与接口研判</w:t>
      </w:r>
    </w:p>
    <w:p>
      <w:r>
        <w:t>金家堰的区位能级为组团级TOD，线路/换乘信息为6，日均客流为686 人次/日（每站每月日均进站.xlsx：2025-11日均进站）。客流记录覆盖至 2025-11，平均日均进站 541.71 人次/日。站点侧已识别出入口 4 个，联通形式 地下通道、预留接口，问题记录 6 条。这些信息用于判断站点侧联通需求、接口成熟度和近期实施抓手；若后续接入客流预测、客流方向、分时段拥挤度，可进一步细化为路径级方案建议。</w:t>
      </w:r>
    </w:p>
    <w:p>
      <w:pPr>
        <w:pStyle w:val="Heading1"/>
      </w:pPr>
      <w:r>
        <w:t>4. 周边功能与服务对象研判</w:t>
      </w:r>
    </w:p>
    <w:p>
      <w:r>
        <w:t>运营公司202604资料和站点周边索引显示，周边配套包括学校：人大附中苏州学校；住宅：仁恒华发雅苑</w:t>
        <w:br/>
        <w:t>（在建中 未开放）、月上海棠轩</w:t>
        <w:br/>
        <w:t>（在建中 未开放）；商业景点：玉皇宫。这些内容可辅助判断服务对象、全天候需求、导向标识和步行系统连续性，但仍需控规、规划条件和地块方案确认具体用地功能、开发强度和地下空间条件。</w:t>
      </w:r>
    </w:p>
    <w:p>
      <w:pPr>
        <w:pStyle w:val="Heading1"/>
      </w:pPr>
      <w:r>
        <w:t>5. 多维度评分拆解</w:t>
      </w:r>
    </w:p>
    <w:p>
      <w:r>
        <w:t>本次按功能、区位、交通、地下四个维度进行参数化试算，维度得分为：功能属性 1.3359 分；区位属性 0.2814 分；交通属性 0.3417 分；地下属性 0.5716 分。维度解释为：功能属性：功能属性支撑度较强，对联通必要性形成正向贡献。；区位属性：区位属性贡献中等或偏弱，需结合工程条件和实施成本综合判断。；交通属性：交通属性贡献中等或偏弱，需结合工程条件和实施成本综合判断。；地下属性：地下属性支撑度较强，对联通必要性形成正向贡献。。对临时试算因子，系统保留1分保守值并在待补齐项中说明原因，避免用推断数据替代正式资料。</w:t>
      </w:r>
    </w:p>
    <w:p>
      <w:pPr>
        <w:pStyle w:val="Heading1"/>
      </w:pPr>
      <w:r>
        <w:t>6. 联通必要性评估结论</w:t>
      </w:r>
    </w:p>
    <w:p>
      <w:r>
        <w:t>原始加权分为 2.5306/4.0795，折算百分制为 62.03 分，按 20260507 反馈的 80/60 阈值判定为尽连地块。必要性次之，应尽量联通；优先推动接口条件、建设协同和方案比选。客流记录覆盖至 2025-11，平均日均进站 541.71 人次/日。该结论表示当前资料条件下的必要性等级；若后续补齐地块规模、地下空间或接口条件，系统应重新计算并输出差异说明。</w:t>
      </w:r>
    </w:p>
    <w:p>
      <w:pPr>
        <w:pStyle w:val="Heading1"/>
      </w:pPr>
      <w:r>
        <w:t>7. 推荐方案与方案比选</w:t>
      </w:r>
    </w:p>
    <w:p>
      <w:r>
        <w:t>系统推荐采用地下主通道，推荐理由为：地块公共属性较强且具备实施条件，优先推动地下通道连通。。备选方案包括地下次通道、风雨连廊。比选框架为：推荐方案地下主通道，适用：必连地块；尽连地块；商业公服；交通枢纽；地下公共空间，回避：无地下空间；接口条件不足；历史保护或地下遗址限制未论证；备选方案1地下次通道，适用：尽连地块；可连地块；停车接驳；接口预留，回避：地下空间缺失；工程经济性明显不足；备选方案2风雨连廊，适用：居住类；学校医院；青年公寓；社区公服；无地下公共空间，回避：人行道净宽不足；风貌管控严格且未论证。后续可按接口可达性、投资强度、施工影响、全天候服务、运营管理和城市风貌六类指标做专家复核。</w:t>
      </w:r>
    </w:p>
    <w:p>
      <w:pPr>
        <w:pStyle w:val="Heading1"/>
      </w:pPr>
      <w:r>
        <w:t>8. 方案设计核心技术要求</w:t>
      </w:r>
    </w:p>
    <w:p>
      <w:r>
        <w:t>地下主通道属于地下联通方式。核心技术要求包括：通行功能净宽不小于 5.0m，净高不小于 3.0m。；通行兼休憩或商业功能净高不小于 3.5m。；路径宜短直，减少多次弯折，节点处设置集散空间。；与车站非付费区、地块地下公共空间、防火分隔和运营界面一体化设计。。深化设计还应明确通行净宽、净高、坡道/电梯、导向标识、照明、排水、防滑、运营管理界面和应急疏散组织。</w:t>
      </w:r>
    </w:p>
    <w:p>
      <w:pPr>
        <w:pStyle w:val="Heading1"/>
      </w:pPr>
      <w:r>
        <w:t>9. 风险约束与专项复核</w:t>
      </w:r>
    </w:p>
    <w:p>
      <w:r>
        <w:t>重点风险和复核建议包括：正式地块资料：用地性质、建筑面积/容积率、地下空间功能缺失时，评分和推荐只能作为站点级预评估。建议：补齐控规图则、规划条件、地块指标和地下空间说明后复核。；接口工程条件：接口位置、标高、非付费区关系、结构边界和防水节点决定推荐方式能否落地。建议：深化阶段需核对车站接口条件、地块地下室平面和竖向标高。；消防与疏散：地下或封闭连通空间涉及防火分区、排烟、疏散距离、运营管理边界。建议：方案比选时同步校核消防专项和运营分界。；无障碍与导向：步行接驳应保证连续无障碍、夜间照明、导向识别和客流组织清晰。建议：近期实施方案应先落实连续路径和标识系统。；权属与施工界面：红线、产权、管线迁改、施工组织和费用分摊可能改变方案优先级。建议：把权属边界、施工时序和投资责任纳入补齐清单。；既有推进问题：运营资料记录问题6条，可能影响接口开放或协议签署。建议：优先复核问题记录、接口费、联通协议和建设状态。。上述风险不直接否定推荐方案，但会影响方案层级、接口形式、建设时序和投资责任划分。</w:t>
      </w:r>
    </w:p>
    <w:p>
      <w:pPr>
        <w:pStyle w:val="Heading1"/>
      </w:pPr>
      <w:r>
        <w:t>10. 资料补齐与复核路径</w:t>
      </w:r>
    </w:p>
    <w:p>
      <w:r>
        <w:t>资料完整性状态：当前核心评价字段完整。建议在方案深化前补齐站点客流、接口标高、出入口位置、地下空间功能、建设时序和特殊约束条件。补齐后应重新运行评分，并输出补齐前后等级、推荐方式和关键因子变化。</w:t>
      </w:r>
    </w:p>
    <w:p>
      <w:pPr>
        <w:pStyle w:val="Heading1"/>
      </w:pPr>
      <w:r>
        <w:t>11. 实施时序与协同建议</w:t>
      </w:r>
    </w:p>
    <w:p>
      <w:r>
        <w:t>近期建议先形成可落地的步行接驳、导向标识、接口预留和资料补齐清单；中期结合地块方案、地下空间和接口标高做工程可行性比选；远期在片区更新或地块开发同步阶段推动站城一体化连通、运营管理界面和投资责任机制。责任协同建议覆盖轨道运营、规划设计、地块开发主体、道路/市政/管线单位和消防审查单位。</w:t>
      </w:r>
    </w:p>
    <w:p>
      <w:pPr>
        <w:pStyle w:val="Heading1"/>
      </w:pPr>
      <w:r>
        <w:t>12. LLM综合判断框架</w:t>
      </w:r>
    </w:p>
    <w:p>
      <w:r>
        <w:t>后续接入其他LLM时，建议把本次后端结果作为不可篡改事实输入，LLM只负责综合解释、方案复核和专家式建议。输入应包括项目事实、引用依据、四维评分拆解、推荐与备选方案、风险复核点和待补齐资料。建议输出结构为：综合判断结论、主要依据与引用来源、推荐方案适用性说明、备选方案触发条件、风险与需补齐资料、近期/中期/远期实施建议、人工复核问题清单。LLM不得自行改分、改等级或把缺失资料补成确定事实；所有新增判断应标注依据、置信度和需人工确认的问题。</w:t>
      </w:r>
    </w:p>
    <w:p>
      <w:pPr>
        <w:pStyle w:val="Heading1"/>
      </w:pPr>
      <w:r>
        <w:t>LLM综合判断结构化上下文</w:t>
      </w:r>
    </w:p>
    <w:p>
      <w:r>
        <w:t>供未来接入的LLM或人工专家在规则计算结果基础上做综合研判，不覆盖后端评分事实。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引用来源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互联互通智能体研发工作方案0318.pptx</w:t>
            </w:r>
          </w:p>
        </w:tc>
        <w:tc>
          <w:tcPr>
            <w:tcW w:type="dxa" w:w="2880"/>
          </w:tcPr>
          <w:p>
            <w:r>
              <w:t>确定近期目标、评价到报告的工作流、规则优先级和试点交付边界。</w:t>
            </w:r>
          </w:p>
        </w:tc>
        <w:tc>
          <w:tcPr>
            <w:tcW w:type="dxa" w:w="2880"/>
          </w:tcPr>
          <w:p>
            <w:r>
              <w:t>PPT规则源，优先于早期示例报告。</w:t>
            </w:r>
          </w:p>
        </w:tc>
      </w:tr>
      <w:tr>
        <w:tc>
          <w:tcPr>
            <w:tcW w:type="dxa" w:w="2880"/>
          </w:tcPr>
          <w:p>
            <w:r>
              <w:t>评价因子赋值明细表.xlsx</w:t>
            </w:r>
          </w:p>
        </w:tc>
        <w:tc>
          <w:tcPr>
            <w:tcW w:type="dxa" w:w="2880"/>
          </w:tcPr>
          <w:p>
            <w:r>
              <w:t>确定功能、区位、交通、地下四类维度、因子权重和选项赋值。</w:t>
            </w:r>
          </w:p>
        </w:tc>
        <w:tc>
          <w:tcPr>
            <w:tcW w:type="dxa" w:w="2880"/>
          </w:tcPr>
          <w:p>
            <w:r>
              <w:t>当前评分计算的直接依据。</w:t>
            </w:r>
          </w:p>
        </w:tc>
      </w:tr>
      <w:tr>
        <w:tc>
          <w:tcPr>
            <w:tcW w:type="dxa" w:w="2880"/>
          </w:tcPr>
          <w:p>
            <w:r>
              <w:t>20260507反馈</w:t>
            </w:r>
          </w:p>
        </w:tc>
        <w:tc>
          <w:tcPr>
            <w:tcW w:type="dxa" w:w="2880"/>
          </w:tcPr>
          <w:p>
            <w:r>
              <w:t>确认评分口径以Excel/PPT为准，早期样例报告仅作章节和表达参考。</w:t>
            </w:r>
          </w:p>
        </w:tc>
        <w:tc>
          <w:tcPr>
            <w:tcW w:type="dxa" w:w="2880"/>
          </w:tcPr>
          <w:p>
            <w:r>
              <w:t>验收口径确认。</w:t>
            </w:r>
          </w:p>
        </w:tc>
      </w:tr>
      <w:tr>
        <w:tc>
          <w:tcPr>
            <w:tcW w:type="dxa" w:w="2880"/>
          </w:tcPr>
          <w:p>
            <w:r>
              <w:t>车站TOD级别划分整理.xlsx</w:t>
            </w:r>
          </w:p>
        </w:tc>
        <w:tc>
          <w:tcPr>
            <w:tcW w:type="dxa" w:w="2880"/>
          </w:tcPr>
          <w:p>
            <w:r>
              <w:t>提供金家堰的TOD级别、线路和区位能级。</w:t>
            </w:r>
          </w:p>
        </w:tc>
        <w:tc>
          <w:tcPr>
            <w:tcW w:type="dxa" w:w="2880"/>
          </w:tcPr>
          <w:p>
            <w:r>
              <w:t>站点级预评估依据。</w:t>
            </w:r>
          </w:p>
        </w:tc>
      </w:tr>
      <w:tr>
        <w:tc>
          <w:tcPr>
            <w:tcW w:type="dxa" w:w="2880"/>
          </w:tcPr>
          <w:p>
            <w:r>
              <w:t>每站每月日均进站.xlsx</w:t>
            </w:r>
          </w:p>
        </w:tc>
        <w:tc>
          <w:tcPr>
            <w:tcW w:type="dxa" w:w="2880"/>
          </w:tcPr>
          <w:p>
            <w:r>
              <w:t>提供站点日均进站客流，用于交通属性中的出行客流因子。</w:t>
            </w:r>
          </w:p>
        </w:tc>
        <w:tc>
          <w:tcPr>
            <w:tcW w:type="dxa" w:w="2880"/>
          </w:tcPr>
          <w:p>
            <w:r>
              <w:t>每站每月日均进站.xlsx：2025-11日均进站</w:t>
            </w:r>
          </w:p>
        </w:tc>
      </w:tr>
      <w:tr>
        <w:tc>
          <w:tcPr>
            <w:tcW w:type="dxa" w:w="2880"/>
          </w:tcPr>
          <w:p>
            <w:r>
              <w:t>苏州地铁运营站点出入口、联通接口情况梳理统计表20260128.xlsx</w:t>
            </w:r>
          </w:p>
        </w:tc>
        <w:tc>
          <w:tcPr>
            <w:tcW w:type="dxa" w:w="2880"/>
          </w:tcPr>
          <w:p>
            <w:r>
              <w:t>提供出入口、接口、联通形式、开发进度和推进问题线索。</w:t>
            </w:r>
          </w:p>
        </w:tc>
        <w:tc>
          <w:tcPr>
            <w:tcW w:type="dxa" w:w="2880"/>
          </w:tcPr>
          <w:p>
            <w:r>
              <w:t>用于站点上下文和推荐规则分层，不替代正式地块资料。</w:t>
            </w:r>
          </w:p>
        </w:tc>
      </w:tr>
      <w:tr>
        <w:tc>
          <w:tcPr>
            <w:tcW w:type="dxa" w:w="2880"/>
          </w:tcPr>
          <w:p>
            <w:r>
              <w:t>运营公司车站出入口开放及周边配套统计表202604.xlsx</w:t>
            </w:r>
          </w:p>
        </w:tc>
        <w:tc>
          <w:tcPr>
            <w:tcW w:type="dxa" w:w="2880"/>
          </w:tcPr>
          <w:p>
            <w:r>
              <w:t>提供出入口开放、运营管理、周边学校/商业/住宅/公共设施等配套线索。</w:t>
            </w:r>
          </w:p>
        </w:tc>
        <w:tc>
          <w:tcPr>
            <w:tcW w:type="dxa" w:w="2880"/>
          </w:tcPr>
          <w:p>
            <w:r>
              <w:t>用于周边服务对象判断和资料补齐提示。</w:t>
            </w:r>
          </w:p>
        </w:tc>
      </w:tr>
      <w:tr>
        <w:tc>
          <w:tcPr>
            <w:tcW w:type="dxa" w:w="2880"/>
          </w:tcPr>
          <w:p>
            <w:r>
              <w:t>苏州轨道交通站点周边地下公共联通空间设计细则-结题评审修改稿.docx</w:t>
            </w:r>
          </w:p>
        </w:tc>
        <w:tc>
          <w:tcPr>
            <w:tcW w:type="dxa" w:w="2880"/>
          </w:tcPr>
          <w:p>
            <w:r>
              <w:t>作为地下联通空间、接口、无障碍、消防、运营界面等设计控制要求的知识库来源。</w:t>
            </w:r>
          </w:p>
        </w:tc>
        <w:tc>
          <w:tcPr>
            <w:tcW w:type="dxa" w:w="2880"/>
          </w:tcPr>
          <w:p>
            <w:r>
              <w:t>设计建议引用源，具体条款需在深化阶段人工复核。</w:t>
            </w:r>
          </w:p>
        </w:tc>
      </w:tr>
    </w:tbl>
    <w:p>
      <w:pPr>
        <w:pStyle w:val="Heading2"/>
      </w:pPr>
      <w:r>
        <w:t>建议LLM输出结构</w:t>
      </w:r>
    </w:p>
    <w:p>
      <w:pPr>
        <w:pStyle w:val="ListBullet"/>
      </w:pPr>
      <w:r>
        <w:t>综合判断结论</w:t>
      </w:r>
    </w:p>
    <w:p>
      <w:pPr>
        <w:pStyle w:val="ListBullet"/>
      </w:pPr>
      <w:r>
        <w:t>主要依据与引用来源</w:t>
      </w:r>
    </w:p>
    <w:p>
      <w:pPr>
        <w:pStyle w:val="ListBullet"/>
      </w:pPr>
      <w:r>
        <w:t>推荐方案适用性说明</w:t>
      </w:r>
    </w:p>
    <w:p>
      <w:pPr>
        <w:pStyle w:val="ListBullet"/>
      </w:pPr>
      <w:r>
        <w:t>备选方案触发条件</w:t>
      </w:r>
    </w:p>
    <w:p>
      <w:pPr>
        <w:pStyle w:val="ListBullet"/>
      </w:pPr>
      <w:r>
        <w:t>风险与需补齐资料</w:t>
      </w:r>
    </w:p>
    <w:p>
      <w:pPr>
        <w:pStyle w:val="ListBullet"/>
      </w:pPr>
      <w:r>
        <w:t>近期/中期/远期实施建议</w:t>
      </w:r>
    </w:p>
    <w:p>
      <w:pPr>
        <w:pStyle w:val="ListBullet"/>
      </w:pPr>
      <w:r>
        <w:t>人工复核问题清单</w:t>
      </w:r>
    </w:p>
    <w:p>
      <w:pPr>
        <w:pStyle w:val="Heading1"/>
      </w:pPr>
      <w:r>
        <w:t>规则口径说明</w:t>
      </w:r>
    </w:p>
    <w:p>
      <w:r>
        <w:t>本报告按《互联互通智能体研发工作方案0318.pptx》近期目标口径生成；评分口径以20260507反馈和《评价因子赋值明细表.xlsx》为准，旧示例报告仅作章节与表达参考。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