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金家堰邻里中心</w:t>
      </w:r>
    </w:p>
    <w:p>
      <w:r>
        <w:t>地块编号：6-JJY-2026-001</w:t>
      </w:r>
    </w:p>
    <w:p>
      <w:r>
        <w:t>综合评分（百分制）：62.03分</w:t>
      </w:r>
    </w:p>
    <w:p>
      <w:r>
        <w:t>原始加权分：2.5306 / 4.0795</w:t>
      </w:r>
    </w:p>
    <w:p>
      <w:r>
        <w:t>联通等级：尽连地块</w:t>
      </w:r>
    </w:p>
    <w:p>
      <w:r>
        <w:t>推荐方式：地下主通道</w:t>
      </w:r>
    </w:p>
    <w:p>
      <w:r>
        <w:t>数据完整度：6/6</w:t>
      </w:r>
    </w:p>
    <w:p>
      <w:pPr>
        <w:pStyle w:val="Heading1"/>
      </w:pPr>
      <w:r>
        <w:t>评分明细表</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维度</w:t>
            </w:r>
          </w:p>
        </w:tc>
        <w:tc>
          <w:tcPr>
            <w:tcW w:type="dxa" w:w="1440"/>
          </w:tcPr>
          <w:p>
            <w:r>
              <w:t>因子</w:t>
            </w:r>
          </w:p>
        </w:tc>
        <w:tc>
          <w:tcPr>
            <w:tcW w:type="dxa" w:w="1440"/>
          </w:tcPr>
          <w:p>
            <w:r>
              <w:t>选项</w:t>
            </w:r>
          </w:p>
        </w:tc>
        <w:tc>
          <w:tcPr>
            <w:tcW w:type="dxa" w:w="1440"/>
          </w:tcPr>
          <w:p>
            <w:r>
              <w:t>原始分</w:t>
            </w:r>
          </w:p>
        </w:tc>
        <w:tc>
          <w:tcPr>
            <w:tcW w:type="dxa" w:w="1440"/>
          </w:tcPr>
          <w:p>
            <w:r>
              <w:t>权重</w:t>
            </w:r>
          </w:p>
        </w:tc>
        <w:tc>
          <w:tcPr>
            <w:tcW w:type="dxa" w:w="1440"/>
          </w:tcPr>
          <w:p>
            <w:r>
              <w:t>加权分</w:t>
            </w:r>
          </w:p>
        </w:tc>
      </w:tr>
      <w:tr>
        <w:tc>
          <w:tcPr>
            <w:tcW w:type="dxa" w:w="1440"/>
          </w:tcPr>
          <w:p>
            <w:r>
              <w:t>功能属性</w:t>
            </w:r>
          </w:p>
        </w:tc>
        <w:tc>
          <w:tcPr>
            <w:tcW w:type="dxa" w:w="1440"/>
          </w:tcPr>
          <w:p>
            <w:r>
              <w:t>用地功能</w:t>
            </w:r>
          </w:p>
        </w:tc>
        <w:tc>
          <w:tcPr>
            <w:tcW w:type="dxa" w:w="1440"/>
          </w:tcPr>
          <w:p>
            <w:r>
              <w:t>重要医疗文体设施、综合商业、邻里中心</w:t>
            </w:r>
          </w:p>
        </w:tc>
        <w:tc>
          <w:tcPr>
            <w:tcW w:type="dxa" w:w="1440"/>
          </w:tcPr>
          <w:p>
            <w:r>
              <w:t>4</w:t>
            </w:r>
          </w:p>
        </w:tc>
        <w:tc>
          <w:tcPr>
            <w:tcW w:type="dxa" w:w="1440"/>
          </w:tcPr>
          <w:p>
            <w:r>
              <w:t>0.0795</w:t>
            </w:r>
          </w:p>
        </w:tc>
        <w:tc>
          <w:tcPr>
            <w:tcW w:type="dxa" w:w="1440"/>
          </w:tcPr>
          <w:p>
            <w:r>
              <w:t>0.318</w:t>
            </w:r>
          </w:p>
        </w:tc>
      </w:tr>
      <w:tr>
        <w:tc>
          <w:tcPr>
            <w:tcW w:type="dxa" w:w="1440"/>
          </w:tcPr>
          <w:p>
            <w:r>
              <w:t>功能属性</w:t>
            </w:r>
          </w:p>
        </w:tc>
        <w:tc>
          <w:tcPr>
            <w:tcW w:type="dxa" w:w="1440"/>
          </w:tcPr>
          <w:p>
            <w:r>
              <w:t>开发强度</w:t>
            </w:r>
          </w:p>
        </w:tc>
        <w:tc>
          <w:tcPr>
            <w:tcW w:type="dxa" w:w="1440"/>
          </w:tcPr>
          <w:p>
            <w:r>
              <w:t>建筑面积 3 万-10 万平方米</w:t>
            </w:r>
          </w:p>
        </w:tc>
        <w:tc>
          <w:tcPr>
            <w:tcW w:type="dxa" w:w="1440"/>
          </w:tcPr>
          <w:p>
            <w:r>
              <w:t>3</w:t>
            </w:r>
          </w:p>
        </w:tc>
        <w:tc>
          <w:tcPr>
            <w:tcW w:type="dxa" w:w="1440"/>
          </w:tcPr>
          <w:p>
            <w:r>
              <w:t>0.3393</w:t>
            </w:r>
          </w:p>
        </w:tc>
        <w:tc>
          <w:tcPr>
            <w:tcW w:type="dxa" w:w="1440"/>
          </w:tcPr>
          <w:p>
            <w:r>
              <w:t>1.0179</w:t>
            </w:r>
          </w:p>
        </w:tc>
      </w:tr>
      <w:tr>
        <w:tc>
          <w:tcPr>
            <w:tcW w:type="dxa" w:w="1440"/>
          </w:tcPr>
          <w:p>
            <w:r>
              <w:t>区位属性</w:t>
            </w:r>
          </w:p>
        </w:tc>
        <w:tc>
          <w:tcPr>
            <w:tcW w:type="dxa" w:w="1440"/>
          </w:tcPr>
          <w:p>
            <w:r>
              <w:t>区位能级</w:t>
            </w:r>
          </w:p>
        </w:tc>
        <w:tc>
          <w:tcPr>
            <w:tcW w:type="dxa" w:w="1440"/>
          </w:tcPr>
          <w:p>
            <w:r>
              <w:t>社区级中心</w:t>
            </w:r>
          </w:p>
        </w:tc>
        <w:tc>
          <w:tcPr>
            <w:tcW w:type="dxa" w:w="1440"/>
          </w:tcPr>
          <w:p>
            <w:r>
              <w:t>2</w:t>
            </w:r>
          </w:p>
        </w:tc>
        <w:tc>
          <w:tcPr>
            <w:tcW w:type="dxa" w:w="1440"/>
          </w:tcPr>
          <w:p>
            <w:r>
              <w:t>0.1407</w:t>
            </w:r>
          </w:p>
        </w:tc>
        <w:tc>
          <w:tcPr>
            <w:tcW w:type="dxa" w:w="1440"/>
          </w:tcPr>
          <w:p>
            <w:r>
              <w:t>0.2814</w:t>
            </w:r>
          </w:p>
        </w:tc>
      </w:tr>
      <w:tr>
        <w:tc>
          <w:tcPr>
            <w:tcW w:type="dxa" w:w="1440"/>
          </w:tcPr>
          <w:p>
            <w:r>
              <w:t>交通属性</w:t>
            </w:r>
          </w:p>
        </w:tc>
        <w:tc>
          <w:tcPr>
            <w:tcW w:type="dxa" w:w="1440"/>
          </w:tcPr>
          <w:p>
            <w:r>
              <w:t>出行客流</w:t>
            </w:r>
          </w:p>
        </w:tc>
        <w:tc>
          <w:tcPr>
            <w:tcW w:type="dxa" w:w="1440"/>
          </w:tcPr>
          <w:p>
            <w:r>
              <w:t>日均进站量小于 2500</w:t>
            </w:r>
          </w:p>
        </w:tc>
        <w:tc>
          <w:tcPr>
            <w:tcW w:type="dxa" w:w="1440"/>
          </w:tcPr>
          <w:p>
            <w:r>
              <w:t>1</w:t>
            </w:r>
          </w:p>
        </w:tc>
        <w:tc>
          <w:tcPr>
            <w:tcW w:type="dxa" w:w="1440"/>
          </w:tcPr>
          <w:p>
            <w:r>
              <w:t>0.2535</w:t>
            </w:r>
          </w:p>
        </w:tc>
        <w:tc>
          <w:tcPr>
            <w:tcW w:type="dxa" w:w="1440"/>
          </w:tcPr>
          <w:p>
            <w:r>
              <w:t>0.2535</w:t>
            </w:r>
          </w:p>
        </w:tc>
      </w:tr>
      <w:tr>
        <w:tc>
          <w:tcPr>
            <w:tcW w:type="dxa" w:w="1440"/>
          </w:tcPr>
          <w:p>
            <w:r>
              <w:t>交通属性</w:t>
            </w:r>
          </w:p>
        </w:tc>
        <w:tc>
          <w:tcPr>
            <w:tcW w:type="dxa" w:w="1440"/>
          </w:tcPr>
          <w:p>
            <w:r>
              <w:t>高效换乘</w:t>
            </w:r>
          </w:p>
        </w:tc>
        <w:tc>
          <w:tcPr>
            <w:tcW w:type="dxa" w:w="1440"/>
          </w:tcPr>
          <w:p>
            <w:r>
              <w:t>一般站</w:t>
            </w:r>
          </w:p>
        </w:tc>
        <w:tc>
          <w:tcPr>
            <w:tcW w:type="dxa" w:w="1440"/>
          </w:tcPr>
          <w:p>
            <w:r>
              <w:t>2</w:t>
            </w:r>
          </w:p>
        </w:tc>
        <w:tc>
          <w:tcPr>
            <w:tcW w:type="dxa" w:w="1440"/>
          </w:tcPr>
          <w:p>
            <w:r>
              <w:t>0.0441</w:t>
            </w:r>
          </w:p>
        </w:tc>
        <w:tc>
          <w:tcPr>
            <w:tcW w:type="dxa" w:w="1440"/>
          </w:tcPr>
          <w:p>
            <w:r>
              <w:t>0.0882</w:t>
            </w:r>
          </w:p>
        </w:tc>
      </w:tr>
      <w:tr>
        <w:tc>
          <w:tcPr>
            <w:tcW w:type="dxa" w:w="1440"/>
          </w:tcPr>
          <w:p>
            <w:r>
              <w:t>地下属性</w:t>
            </w:r>
          </w:p>
        </w:tc>
        <w:tc>
          <w:tcPr>
            <w:tcW w:type="dxa" w:w="1440"/>
          </w:tcPr>
          <w:p>
            <w:r>
              <w:t>地下空间</w:t>
            </w:r>
          </w:p>
        </w:tc>
        <w:tc>
          <w:tcPr>
            <w:tcW w:type="dxa" w:w="1440"/>
          </w:tcPr>
          <w:p>
            <w:r>
              <w:t>有，功能为商业、公共服务、文体、商业+停车或 P+R 停车</w:t>
            </w:r>
          </w:p>
        </w:tc>
        <w:tc>
          <w:tcPr>
            <w:tcW w:type="dxa" w:w="1440"/>
          </w:tcPr>
          <w:p>
            <w:r>
              <w:t>4</w:t>
            </w:r>
          </w:p>
        </w:tc>
        <w:tc>
          <w:tcPr>
            <w:tcW w:type="dxa" w:w="1440"/>
          </w:tcPr>
          <w:p>
            <w:r>
              <w:t>0.1429</w:t>
            </w:r>
          </w:p>
        </w:tc>
        <w:tc>
          <w:tcPr>
            <w:tcW w:type="dxa" w:w="1440"/>
          </w:tcPr>
          <w:p>
            <w:r>
              <w:t>0.5716</w:t>
            </w:r>
          </w:p>
        </w:tc>
      </w:tr>
    </w:tbl>
    <w:p>
      <w:pPr>
        <w:pStyle w:val="Heading1"/>
      </w:pPr>
      <w:r>
        <w:t>推荐方案与备选方案</w:t>
      </w:r>
    </w:p>
    <w:tbl>
      <w:tblPr>
        <w:tblW w:type="auto" w:w="0"/>
        <w:tblLook w:firstColumn="1" w:firstRow="1" w:lastColumn="0" w:lastRow="0" w:noHBand="0" w:noVBand="1" w:val="04A0"/>
      </w:tblPr>
      <w:tblGrid>
        <w:gridCol w:w="2160"/>
        <w:gridCol w:w="2160"/>
        <w:gridCol w:w="2160"/>
        <w:gridCol w:w="2160"/>
      </w:tblGrid>
      <w:tr>
        <w:tc>
          <w:tcPr>
            <w:tcW w:type="dxa" w:w="2160"/>
          </w:tcPr>
          <w:p>
            <w:r>
              <w:t>类型</w:t>
            </w:r>
          </w:p>
        </w:tc>
        <w:tc>
          <w:tcPr>
            <w:tcW w:type="dxa" w:w="2160"/>
          </w:tcPr>
          <w:p>
            <w:r>
              <w:t>名称</w:t>
            </w:r>
          </w:p>
        </w:tc>
        <w:tc>
          <w:tcPr>
            <w:tcW w:type="dxa" w:w="2160"/>
          </w:tcPr>
          <w:p>
            <w:r>
              <w:t>类别</w:t>
            </w:r>
          </w:p>
        </w:tc>
        <w:tc>
          <w:tcPr>
            <w:tcW w:type="dxa" w:w="2160"/>
          </w:tcPr>
          <w:p>
            <w:r>
              <w:t>核心适用场景</w:t>
            </w:r>
          </w:p>
        </w:tc>
      </w:tr>
      <w:tr>
        <w:tc>
          <w:tcPr>
            <w:tcW w:type="dxa" w:w="2160"/>
          </w:tcPr>
          <w:p>
            <w:r>
              <w:t>推荐</w:t>
            </w:r>
          </w:p>
        </w:tc>
        <w:tc>
          <w:tcPr>
            <w:tcW w:type="dxa" w:w="2160"/>
          </w:tcPr>
          <w:p>
            <w:r>
              <w:t>地下主通道</w:t>
            </w:r>
          </w:p>
        </w:tc>
        <w:tc>
          <w:tcPr>
            <w:tcW w:type="dxa" w:w="2160"/>
          </w:tcPr>
          <w:p>
            <w:r>
              <w:t>地下联通</w:t>
            </w:r>
          </w:p>
        </w:tc>
        <w:tc>
          <w:tcPr>
            <w:tcW w:type="dxa" w:w="2160"/>
          </w:tcPr>
          <w:p>
            <w:r>
              <w:t>必连地块、尽连地块、商业公服、交通枢纽、地下公共空间</w:t>
            </w:r>
          </w:p>
        </w:tc>
      </w:tr>
      <w:tr>
        <w:tc>
          <w:tcPr>
            <w:tcW w:type="dxa" w:w="2160"/>
          </w:tcPr>
          <w:p>
            <w:r>
              <w:t>备选</w:t>
            </w:r>
          </w:p>
        </w:tc>
        <w:tc>
          <w:tcPr>
            <w:tcW w:type="dxa" w:w="2160"/>
          </w:tcPr>
          <w:p>
            <w:r>
              <w:t>地下次通道</w:t>
            </w:r>
          </w:p>
        </w:tc>
        <w:tc>
          <w:tcPr>
            <w:tcW w:type="dxa" w:w="2160"/>
          </w:tcPr>
          <w:p>
            <w:r>
              <w:t>地下联通</w:t>
            </w:r>
          </w:p>
        </w:tc>
        <w:tc>
          <w:tcPr>
            <w:tcW w:type="dxa" w:w="2160"/>
          </w:tcPr>
          <w:p>
            <w:r>
              <w:t>尽连地块、可连地块、停车接驳、接口预留</w:t>
            </w:r>
          </w:p>
        </w:tc>
      </w:tr>
      <w:tr>
        <w:tc>
          <w:tcPr>
            <w:tcW w:type="dxa" w:w="2160"/>
          </w:tcPr>
          <w:p>
            <w:r>
              <w:t>备选</w:t>
            </w:r>
          </w:p>
        </w:tc>
        <w:tc>
          <w:tcPr>
            <w:tcW w:type="dxa" w:w="2160"/>
          </w:tcPr>
          <w:p>
            <w:r>
              <w:t>风雨连廊</w:t>
            </w:r>
          </w:p>
        </w:tc>
        <w:tc>
          <w:tcPr>
            <w:tcW w:type="dxa" w:w="2160"/>
          </w:tcPr>
          <w:p>
            <w:r>
              <w:t>地面联通</w:t>
            </w:r>
          </w:p>
        </w:tc>
        <w:tc>
          <w:tcPr>
            <w:tcW w:type="dxa" w:w="2160"/>
          </w:tcPr>
          <w:p>
            <w:r>
              <w:t>居住类、学校医院、青年公寓、社区公服、无地下公共空间</w:t>
            </w:r>
          </w:p>
        </w:tc>
      </w:tr>
    </w:tbl>
    <w:p>
      <w:pPr>
        <w:pStyle w:val="Heading1"/>
      </w:pPr>
      <w:r>
        <w:t>1. 项目概况</w:t>
      </w:r>
    </w:p>
    <w:p>
      <w:r>
        <w:t>金家堰邻里中心位于金家堰周边，地块位置为金堰路东、东宏路北，处于200m核心开发区范围。对应站点线路为6，TOD能级为组团级TOD。地块用地及业态为商业用地，用地面积约25000平方米，建筑面积约90000平方米，地下空间条件为有地下室，地下2层，包含停车、设备用房及公共服务/商业配套空间。站点侧现有出入口约4个，已识别联通形式为地下通道、预留接口，日均进站客流为686人次/日。周边服务对象包括人大附中苏州学校、仁恒华发雅苑（在建中未开放）、月上海棠轩（在建中未开放）、玉皇宫，具备从站点接驳、社区服务、商业引流和公共空间连续性等方面开展联通论证的基础。</w:t>
      </w:r>
    </w:p>
    <w:p>
      <w:pPr>
        <w:pStyle w:val="Heading1"/>
      </w:pPr>
      <w:r>
        <w:t>2. 联通必要性评估结论</w:t>
      </w:r>
    </w:p>
    <w:p>
      <w:r>
        <w:t>按既定评价因子和权重计算，项目综合评分为62.03分，判定为尽连地块。该等级对应的管控建议为：必要性次之，应尽量联通；优先推动接口条件、建设协同和方案比选。结合本项目业态、站点服务范围、地下空间条件和地下联通商业公服标杆特征，本次建议以地下主通道作为主要联通方式，并同步保留备选方案和接口预留条件。该结论不以单一客流指标作为判断依据，而是综合考虑公共服务属性、站点可达性、工程接口、全天候通行需求和建设协同条件。</w:t>
      </w:r>
    </w:p>
    <w:p>
      <w:pPr>
        <w:pStyle w:val="Heading1"/>
      </w:pPr>
      <w:r>
        <w:t>3. 结论核心依据说明</w:t>
      </w:r>
    </w:p>
    <w:p>
      <w:r>
        <w:t>正向支撑方面：地块位于车站核心影响范围内，业态具有综合性社区邻里中心特征，与轨道交通接驳存在稳定需求；项目地下空间、站点接口或地面接驳条件为联通方案提供了基础；评分维度显示功能属性得分1.3359；区位属性得分0.2814；交通属性得分0.3417；地下属性得分0.5716，其中公共功能、接驳需求和空间条件共同支撑联通必要性。约束因素方面：当前核心评分字段较完整，后续仍需结合工程资料复核。此外，接口标高、消防分区、运营管理、权属边界、管线迁改和建设时序仍需在深化阶段专项复核。</w:t>
      </w:r>
    </w:p>
    <w:p>
      <w:pPr>
        <w:pStyle w:val="Heading1"/>
      </w:pPr>
      <w:r>
        <w:t>4. 联通方式比选与推荐方案</w:t>
      </w:r>
    </w:p>
    <w:p>
      <w:r>
        <w:t>推荐方案：地下主通道。适用判断：地下主通道属于地下联通，适用于必连地块、尽连地块、商业公服、交通枢纽、地下公共空间；需回避或重点复核无地下空间、接口条件不足、历史保护或地下遗址限制未论证。推荐理由为：地块公共属性较强且具备实施条件，优先推动地下通道连通。备选方案1：地下次通道属于地下联通，适用于尽连地块、可连地块、停车接驳、接口预留；需回避或重点复核地下空间缺失、工程经济性明显不足。；备选方案2：风雨连廊属于地面联通，适用于居住类、学校医院、青年公寓、社区公服、无地下公共空间；需回避或重点复核人行道净宽不足、风貌管控严格且未论证。。综合比较，推荐方案更能兼顾全天候接驳、公共服务可达性、客流组织效率和远期站城融合弹性；备选方案可在投资、接口、风貌或工程条件变化时作为调整路径。</w:t>
      </w:r>
    </w:p>
    <w:p>
      <w:pPr>
        <w:pStyle w:val="Heading1"/>
      </w:pPr>
      <w:r>
        <w:t>5. 推荐方案整体设计思路</w:t>
      </w:r>
    </w:p>
    <w:p>
      <w:r>
        <w:t>建议以3号口对应站厅层非付费区或预留接口为起点，以金堰路东、东宏路北地下一层公共空间/公共中庭为终点，通道路径宜短直组织，优先衔接车站非付费区、地块地下公共空间和垂直交通节点。采用通行兼集散复合功能，可结合地下商业、公服或停车人流组织设置集散节点。方案应同步处理车站客流、地块人流、停车人流和公共服务人群的组织关系，避免通行流线与私密空间、设备空间或运营边界发生冲突。重点复核车站接口、有地下室，地下2层，包含停车、设备用房及公共服务/商业配套空间、防火分隔、防水节点和运营管理界面。</w:t>
      </w:r>
    </w:p>
    <w:p>
      <w:pPr>
        <w:pStyle w:val="Heading1"/>
      </w:pPr>
      <w:r>
        <w:t>6. 方案设计核心技术要求</w:t>
      </w:r>
    </w:p>
    <w:p>
      <w:r>
        <w:t>空间尺度方面，通行功能净宽不小于5.0m，净高不小于3.0m；兼具休憩或商业服务功能时净高宜不小于3.5m。平面组织应坚持路径短直、导向清晰、节点可识别的原则，起终点应设置必要集散空间，避免客流交叉拥堵。消防与安全方面，应同步校核防火分区、排烟、疏散距离、应急照明、视频监控和紧急报警条件。无障碍方面，应保证轮椅通行、坡道坡度、盲道衔接、扶手设置和全年龄友好通行。导向与运营方面，应统一车站、通道和地块标识系统，明确开放时段、维护责任、安防管理和突发事件联动机制。</w:t>
      </w:r>
    </w:p>
    <w:p>
      <w:pPr>
        <w:pStyle w:val="Heading1"/>
      </w:pPr>
      <w:r>
        <w:t>7. 合规性校验说明</w:t>
      </w:r>
    </w:p>
    <w:p>
      <w:r>
        <w:t>后续方案深化应对照城市轨道交通、建筑防火、无障碍、地下空间、步行系统和地方站城融合导则进行合规校核。地下联通方案重点校核地铁设计、防火分隔、防水、人防兼容、通风排烟和运营安全；地面或空中方案重点校核人行净宽、结构安全、桥下净空、城市风貌、排水照明和无障碍连续性。所有控制指标应满足国家及苏州市相关规范的强制性要求，不得以商业植入或空间装饰削弱基本通行、消防和疏散功能。</w:t>
      </w:r>
    </w:p>
    <w:p>
      <w:pPr>
        <w:pStyle w:val="Heading1"/>
      </w:pPr>
      <w:r>
        <w:t>8. 设计优化与实施建议</w:t>
      </w:r>
    </w:p>
    <w:p>
      <w:r>
        <w:t>近期建议先稳定接口边界、接驳路径和资料补齐清单，优先完成出入口位置、接口标高、地下空间平面、管线权属和建设时序核查。中期建议结合地块方案深化，同步开展联通工程可行性、投资估算、消防专项、运营分界和交通组织比选。远期建议将联通空间纳入站城一体化运营管理，结合导向标识、智慧客流、便民设施、公共艺术和社区服务功能提升空间品质。如项目暂不具备一次实施条件，应预留结构接口、防水节点、标识接口和地面衔接条件，避免后期改造成本过高。</w:t>
      </w:r>
    </w:p>
    <w:p>
      <w:pPr>
        <w:pStyle w:val="Heading1"/>
      </w:pPr>
      <w:r>
        <w:t>9. 资料补齐与复核问题</w:t>
      </w:r>
    </w:p>
    <w:p>
      <w:r>
        <w:t>本阶段需重点补齐和复核：当前核心评分字段较完整，后续仍需结合工程资料复核。同时建议开展现场踏勘，核实出入口集散空间、人行道宽度、地下管线、道路红线、地块边界、既有构筑物、消防登高面和施工组织条件。补齐资料后应重新运行评分，并对等级、推荐方式、通道尺度和实施时序变化进行差异说明。</w:t>
      </w:r>
    </w:p>
    <w:p>
      <w:pPr>
        <w:pStyle w:val="Heading1"/>
      </w:pPr>
      <w:r>
        <w:t>10. 意向效果图/示意图输出指引</w:t>
      </w:r>
    </w:p>
    <w:p>
      <w:r>
        <w:t>建议输出地下通道与地块地下一层公共空间衔接示意图，重点表达站厅非付费区接口、通道路径、集散节点、防火分隔和垂直交通。图面应同时表达站点、出入口、目标地块、主要人流方向、推荐联通路径、备选路径、接口节点和需复核边界。对于汇报场景，可采用“现状关系图 + 推荐方案图 + 节点剖面/轴测示意”的组合，突出方案的可达性、可实施性和空间品质提升效果。</w:t>
      </w:r>
    </w:p>
    <w:p>
      <w:pPr>
        <w:pStyle w:val="Heading1"/>
      </w:pPr>
      <w:r>
        <w:t>附录：规则评分与系统研判摘要</w:t>
      </w:r>
    </w:p>
    <w:p>
      <w:pPr>
        <w:pStyle w:val="Heading2"/>
      </w:pPr>
      <w:r>
        <w:t>A1. 项目概况与资料边界</w:t>
      </w:r>
    </w:p>
    <w:p>
      <w:r>
        <w:t>金家堰邻里中心对应站点为金家堰，所属区划为工业园区，地块位置为金堰路东、东宏路北，圈层为200m核心开发区。地块业态为综合性社区邻里中心，用地面积约25000平方米，建筑面积约90000平方米，规划指标为容积率≤2.5，建筑密度≤50%，建筑限高60m。邻近出入口为3号口，日均客流为686 人次/日（每站每月日均进站.xlsx：2025-11日均进站）。站点侧已识别出入口 4 个，联通形式 地下通道、预留接口，问题记录 6 条。运营公司202604资料显示，站点出入口开放 4/4 个，运营管理 4 个；周边配套包括学校：人大附中苏州学校；住宅：仁恒华发雅苑</w:t>
        <w:br/>
        <w:t>（在建中 未开放）、月上海棠轩</w:t>
        <w:br/>
        <w:t>（在建中 未开放）；商业景点：玉皇宫。本段仅描述已入库事实和待补齐资料边界，不把周边配套线索直接等同为地块正式评分输入。</w:t>
      </w:r>
    </w:p>
    <w:p>
      <w:pPr>
        <w:pStyle w:val="Heading2"/>
      </w:pPr>
      <w:r>
        <w:t>A2. 评价口径与引用依据</w:t>
      </w:r>
    </w:p>
    <w:p>
      <w:r>
        <w:t>本次评价以PPT工作方案、评价因子赋值表和20260507反馈为主控口径，引用依据包括：互联互通智能体研发工作方案0318.pptx（确定近期目标、评价到报告的工作流、规则优先级和试点交付边界。）；评价因子赋值明细表.xlsx（确定功能、区位、交通、地下四类维度、因子权重和选项赋值。）；20260507反馈（确认评分口径以Excel/PPT为准，早期样例报告仅作章节和表达参考。）；车站TOD级别划分整理.xlsx（提供金家堰的TOD级别、线路和区位能级。）；每站每月日均进站.xlsx（提供站点日均进站客流，用于交通属性中的出行客流因子。）；苏州地铁运营站点出入口、联通接口情况梳理统计表20260128.xlsx（提供出入口、接口、联通形式、开发进度和推进问题线索。）；运营公司车站出入口开放及周边配套统计表202604.xlsx（提供出入口开放、运营管理、周边学校/商业/住宅/公共设施等配套线索。）；苏州轨道交通站点周边地下公共联通空间设计细则-结题评审修改稿.docx（作为地下联通空间、接口、无障碍、消防、运营界面等设计控制要求的知识库来源。）。其中评分因子、权重和等级阈值由结构化规则引擎计算；设计细则、运营资料和周边配套作为解释、比选、风险识别和补齐项提示依据。</w:t>
      </w:r>
    </w:p>
    <w:p>
      <w:pPr>
        <w:pStyle w:val="Heading2"/>
      </w:pPr>
      <w:r>
        <w:t>A3. 站点能级、客流与接口研判</w:t>
      </w:r>
    </w:p>
    <w:p>
      <w:r>
        <w:t>金家堰的区位能级为组团级TOD，线路/换乘信息为6，日均客流为686 人次/日（每站每月日均进站.xlsx：2025-11日均进站）。客流记录覆盖至 2025-11，平均日均进站 541.71 人次/日。站点侧已识别出入口 4 个，联通形式 地下通道、预留接口，问题记录 6 条。这些信息用于判断站点侧联通需求、接口成熟度和近期实施抓手；若后续接入客流预测、客流方向、分时段拥挤度，可进一步细化为路径级方案建议。</w:t>
      </w:r>
    </w:p>
    <w:p>
      <w:pPr>
        <w:pStyle w:val="Heading2"/>
      </w:pPr>
      <w:r>
        <w:t>A4. 周边功能与服务对象研判</w:t>
      </w:r>
    </w:p>
    <w:p>
      <w:r>
        <w:t>运营公司202604资料和站点周边索引显示，周边配套包括学校：人大附中苏州学校；住宅：仁恒华发雅苑</w:t>
        <w:br/>
        <w:t>（在建中 未开放）、月上海棠轩</w:t>
        <w:br/>
        <w:t>（在建中 未开放）；商业景点：玉皇宫。这些内容可辅助判断服务对象、全天候需求、导向标识和步行系统连续性，但仍需控规、规划条件和地块方案确认具体用地功能、开发强度和地下空间条件。</w:t>
      </w:r>
    </w:p>
    <w:p>
      <w:pPr>
        <w:pStyle w:val="Heading2"/>
      </w:pPr>
      <w:r>
        <w:t>A5. 多维度评分拆解</w:t>
      </w:r>
    </w:p>
    <w:p>
      <w:r>
        <w:t>本次按功能、区位、交通、地下四个维度进行参数化试算，维度得分为：功能属性 1.3359 分；区位属性 0.2814 分；交通属性 0.3417 分；地下属性 0.5716 分。维度解释为：功能属性：功能属性支撑度较强，对联通必要性形成正向贡献。；区位属性：区位属性贡献中等或偏弱，需结合工程条件和实施成本综合判断。；交通属性：交通属性贡献中等或偏弱，需结合工程条件和实施成本综合判断。；地下属性：地下属性支撑度较强，对联通必要性形成正向贡献。。对临时试算因子，系统保留1分保守值并在待补齐项中说明原因，避免用推断数据替代正式资料。</w:t>
      </w:r>
    </w:p>
    <w:p>
      <w:pPr>
        <w:pStyle w:val="Heading2"/>
      </w:pPr>
      <w:r>
        <w:t>A6. 联通必要性评估结论</w:t>
      </w:r>
    </w:p>
    <w:p>
      <w:r>
        <w:t>原始加权分为 2.5306/4.0795，折算百分制为 62.03 分，按 20260507 反馈的 80/60 阈值判定为尽连地块。必要性次之，应尽量联通；优先推动接口条件、建设协同和方案比选。客流记录覆盖至 2025-11，平均日均进站 541.71 人次/日。该结论表示当前资料条件下的必要性等级；若后续补齐地块规模、地下空间或接口条件，系统应重新计算并输出差异说明。</w:t>
      </w:r>
    </w:p>
    <w:p>
      <w:pPr>
        <w:pStyle w:val="Heading2"/>
      </w:pPr>
      <w:r>
        <w:t>A7. 推荐方案与方案比选</w:t>
      </w:r>
    </w:p>
    <w:p>
      <w:r>
        <w:t>系统推荐采用地下主通道，推荐理由为：地块公共属性较强且具备实施条件，优先推动地下通道连通。。备选方案包括地下次通道、风雨连廊。比选框架为：推荐方案地下主通道，适用：必连地块；尽连地块；商业公服；交通枢纽；地下公共空间，回避：无地下空间；接口条件不足；历史保护或地下遗址限制未论证；备选方案1地下次通道，适用：尽连地块；可连地块；停车接驳；接口预留，回避：地下空间缺失；工程经济性明显不足；备选方案2风雨连廊，适用：居住类；学校医院；青年公寓；社区公服；无地下公共空间，回避：人行道净宽不足；风貌管控严格且未论证。后续可按接口可达性、投资强度、施工影响、全天候服务、运营管理和城市风貌六类指标做专家复核。</w:t>
      </w:r>
    </w:p>
    <w:p>
      <w:pPr>
        <w:pStyle w:val="Heading2"/>
      </w:pPr>
      <w:r>
        <w:t>A8. 方案设计核心技术要求</w:t>
      </w:r>
    </w:p>
    <w:p>
      <w:r>
        <w:t>地下主通道属于地下联通方式。核心技术要求包括：通行功能净宽不小于 5.0m，净高不小于 3.0m。；通行兼休憩或商业功能净高不小于 3.5m。；路径宜短直，减少多次弯折，节点处设置集散空间。；与车站非付费区、地块地下公共空间、防火分隔和运营界面一体化设计。。深化设计还应明确通行净宽、净高、坡道/电梯、导向标识、照明、排水、防滑、运营管理界面和应急疏散组织。</w:t>
      </w:r>
    </w:p>
    <w:p>
      <w:pPr>
        <w:pStyle w:val="Heading2"/>
      </w:pPr>
      <w:r>
        <w:t>A9. 风险约束与专项复核</w:t>
      </w:r>
    </w:p>
    <w:p>
      <w:r>
        <w:t>重点风险和复核建议包括：正式地块资料：用地性质、建筑面积/容积率、地下空间功能缺失时，评分和推荐只能作为站点级预评估。建议：补齐控规图则、规划条件、地块指标和地下空间说明后复核。；接口工程条件：接口位置、标高、非付费区关系、结构边界和防水节点决定推荐方式能否落地。建议：深化阶段需核对车站接口条件、地块地下室平面和竖向标高。；消防与疏散：地下或封闭连通空间涉及防火分区、排烟、疏散距离、运营管理边界。建议：方案比选时同步校核消防专项和运营分界。；无障碍与导向：步行接驳应保证连续无障碍、夜间照明、导向识别和客流组织清晰。建议：近期实施方案应先落实连续路径和标识系统。；权属与施工界面：红线、产权、管线迁改、施工组织和费用分摊可能改变方案优先级。建议：把权属边界、施工时序和投资责任纳入补齐清单。；既有推进问题：运营资料记录问题6条，可能影响接口开放或协议签署。建议：优先复核问题记录、接口费、联通协议和建设状态。。上述风险不直接否定推荐方案，但会影响方案层级、接口形式、建设时序和投资责任划分。</w:t>
      </w:r>
    </w:p>
    <w:p>
      <w:pPr>
        <w:pStyle w:val="Heading2"/>
      </w:pPr>
      <w:r>
        <w:t>A10. 智能研究计划与能力状态</w:t>
      </w:r>
    </w:p>
    <w:p>
      <w:r>
        <w:t>系统按“规则保底、实时研究、本地知识兜底、模型增强”的策略生成研究计划，当前能力状态为：本地缓存cache，独立搜索not_configured，模型live，模型联网unverified。匹配标杆案例为地下联通商业公服标杆。本轮研究问题包括：金家堰在TOD等级、线路换乘、客流和片区功能中承担什么角色？；周边商业、公服、居住、学校、医院、枢纽等服务对象是否形成稳定联通需求？；车站非付费区、出入口、地块地下室和竖向标高是否支持推荐联通方式？；当前项目与“地下联通商业公服标杆”相比，哪些维度应借鉴、哪些条件需复核？；消防疏散、运营界面、管线权属、风貌景观和建设时序有哪些不确定性？；正式提资缺项会如何影响评分等级、方案优先级和实施建议？。模型可用时以模型综合研判为主，本地资料作为证据弹药；未连接模型时需用户确认后才使用离线兜底。</w:t>
      </w:r>
    </w:p>
    <w:p>
      <w:pPr>
        <w:pStyle w:val="Heading2"/>
      </w:pPr>
      <w:r>
        <w:t>A11. 证据包与来源置信度</w:t>
      </w:r>
    </w:p>
    <w:p>
      <w:r>
        <w:t>本轮证据包模式为offline_cache，共收集24条证据，其中缓存24条、实时0条。代表性证据包括：苏州地铁运营站点出入口、联通接口情况梳理统计表20260128.xlsx / Sheet1 / 行1-40（苏州地铁运营站点出入口、联通接口情况梳理统计表20260128.xlsx，置信度0.86，缓存）；苏州地铁运营站点出入口、联通接口情况梳理统计表20260128.xlsx / 6号线 / 行81-160（苏州地铁运营站点出入口、联通接口情况梳理统计表20260128.xlsx，置信度0.86，缓存）；苏州轨道交通6号线金家堰站东北象限邻里中心地块与车站互联互通必要性评估与设计方案报告.docx / 表格 5（苏州轨道交通6号线金家堰站东北象限邻里中心地块与车站互联互通必要性评估与设计方案报告.docx，置信度0.86，缓存）；（核心工作思路，最优先）互联互通智能体研发工作方案0318.pptx / 第4页（（核心工作思路，最优先）互联互通智能体研发工作方案0318.pptx，置信度0.86，缓存）；20231128苏州市轨道交通站城融合设计导则.pdf / 第3页（20231128苏州市轨道交通站城融合设计导则.pdf，置信度0.86，缓存）；苏州轨道交通站点周边地下公共联通空间设计细则-结题评审修改稿.docx / 表格 1（苏州轨道交通站点周边地下公共联通空间设计细则-结题评审修改稿.docx，置信度0.86，缓存）；苏州轨道交通4号线清树湾站东南象限青年公寓地块与车站互联互通必要性评估与设计方案报告.docx / 段落 50（苏州轨道交通4号线清树湾站东南象限青年公寓地块与车站互联互通必要性评估与设计方案报告.docx，置信度0.86，缓存）；苏州轨道交通4号线清树湾站东南象限青年公寓地块与车站互联互通必要性评估与设计方案报告.docx / 段落 56（苏州轨道交通4号线清树湾站东南象限青年公寓地块与车站互联互通必要性评估与设计方案报告.docx，置信度0.86，缓存）；苏州轨道交通6号线金家堰站东北象限邻里中心地块与车站互联互通必要性评估与设计方案报告.docx / 段落 55（苏州轨道交通6号线金家堰站东北象限邻里中心地块与车站互联互通必要性评估与设计方案报告.docx，置信度0.86，缓存）；规则评分与等级（评价因子赋值明细表.xlsx / 后端规则引擎，置信度1.0，缓存）。证据优先级为项目正式输入/规则源、本地标杆缓存、独立搜索、模型联网低置信补充；未被印证的外部信息只作为复核线索。</w:t>
      </w:r>
    </w:p>
    <w:p>
      <w:pPr>
        <w:pStyle w:val="Heading2"/>
      </w:pPr>
      <w:r>
        <w:t>A12. 模型导向多维研判</w:t>
      </w:r>
    </w:p>
    <w:p>
      <w:r>
        <w:t>系统以规则评分作为不可变底座，并匹配“地下联通商业公服标杆”进行本地增强研判。当前结论可用于预评估和提资清单生成；模型或实时搜索可用时可补强外部案例、最新规划和专项风险。动态维度研判包括：城市界面与站城融合：本地证据可支撑方向性判断，仍需专项资料复核。（置信度0.62）；慢行可达与无障碍连续性：本地证据可支撑方向性判断，仍需专项资料复核。（置信度0.62）；服务对象与功能复合：本地证据可支撑方向性判断，仍需专项资料复核。（置信度0.62）；工程接口与竖向条件：本地证据可支撑方向性判断，仍需专项资料复核。（置信度0.62）；运营管理与安全边界：本地证据可支撑方向性判断，仍需专项资料复核。（置信度0.62）；实施时序与投资协同：本地证据可支撑方向性判断，仍需专项资料复核。（置信度0.62）；地下公共空间：本地证据可支撑方向性判断，仍需专项资料复核。（置信度0.62）；商业公服服务对象：本地证据可支撑方向性判断，仍需专项资料复核。（置信度0.62）。不确定性包括：外部模型未配置或不可用，当前采用本地知识库和标杆案例缓存生成研判。；实时联网资料若未返回，不影响规则评分，但会降低外部案例和最新规划信息的覆盖度。。人工复核问题包括：地块正式用地性质、建筑规模和地下空间开放属性是否与当前录入一致？；车站接口位置、标高、非付费区条件和防火分隔是否具备工程可行性？；权属边界、施工时序、投资分担和运营管理界面是否已有明确责任主体？；是否可按“地下联通商业公服标杆”的专项维度补充资料并复核方案优先级？。上述模型导向研判不替代四维规则评分，不改写综合分、等级和推荐方式。</w:t>
      </w:r>
    </w:p>
    <w:p>
      <w:pPr>
        <w:pStyle w:val="Heading2"/>
      </w:pPr>
      <w:r>
        <w:t>A13. 资料补齐与复核路径</w:t>
      </w:r>
    </w:p>
    <w:p>
      <w:r>
        <w:t>资料完整性状态：当前核心评价字段完整。建议在方案深化前补齐站点客流、接口标高、出入口位置、地下空间功能、建设时序和特殊约束条件。补齐后应重新运行评分，并输出补齐前后等级、推荐方式和关键因子变化。</w:t>
      </w:r>
    </w:p>
    <w:p>
      <w:pPr>
        <w:pStyle w:val="Heading2"/>
      </w:pPr>
      <w:r>
        <w:t>A14. 实施时序与协同建议</w:t>
      </w:r>
    </w:p>
    <w:p>
      <w:r>
        <w:t>近期建议先形成可落地的步行接驳、导向标识、接口预留和资料补齐清单；中期结合地块方案、地下空间和接口标高做工程可行性比选；远期在片区更新或地块开发同步阶段推动站城一体化连通、运营管理界面和投资责任机制。责任协同建议覆盖轨道运营、规划设计、地块开发主体、道路/市政/管线单位和消防审查单位。</w:t>
      </w:r>
    </w:p>
    <w:p>
      <w:pPr>
        <w:pStyle w:val="Heading2"/>
      </w:pPr>
      <w:r>
        <w:t>A15. LLM综合判断框架</w:t>
      </w:r>
    </w:p>
    <w:p>
      <w:r>
        <w:t>后续接入其他LLM时，建议把本次后端结果作为不可篡改事实输入，LLM只负责综合解释、方案复核和专家式建议。输入应包括项目事实、引用依据、四维评分拆解、推荐与备选方案、风险复核点和待补齐资料。建议输出结构为：综合判断结论、主要依据与引用来源、推荐方案适用性说明、备选方案触发条件、风险与需补齐资料、近期/中期/远期实施建议、人工复核问题清单。LLM不得自行改分、改等级或把缺失资料补成确定事实；所有新增判断应标注依据、置信度和需人工确认的问题。</w:t>
      </w:r>
    </w:p>
    <w:p>
      <w:pPr>
        <w:pStyle w:val="Heading1"/>
      </w:pPr>
      <w:r>
        <w:t>LLM综合判断结构化上下文</w:t>
      </w:r>
    </w:p>
    <w:p>
      <w:r>
        <w:t>供未来接入的LLM或人工专家在规则计算结果基础上做综合研判，不覆盖后端评分事实。</w:t>
      </w:r>
    </w:p>
    <w:tbl>
      <w:tblPr>
        <w:tblW w:type="auto" w:w="0"/>
        <w:tblLook w:firstColumn="1" w:firstRow="1" w:lastColumn="0" w:lastRow="0" w:noHBand="0" w:noVBand="1" w:val="04A0"/>
      </w:tblPr>
      <w:tblGrid>
        <w:gridCol w:w="2880"/>
        <w:gridCol w:w="2880"/>
        <w:gridCol w:w="2880"/>
      </w:tblGrid>
      <w:tr>
        <w:tc>
          <w:tcPr>
            <w:tcW w:type="dxa" w:w="2880"/>
          </w:tcPr>
          <w:p>
            <w:r>
              <w:t>引用来源</w:t>
            </w:r>
          </w:p>
        </w:tc>
        <w:tc>
          <w:tcPr>
            <w:tcW w:type="dxa" w:w="2880"/>
          </w:tcPr>
          <w:p>
            <w:r>
              <w:t>用途</w:t>
            </w:r>
          </w:p>
        </w:tc>
        <w:tc>
          <w:tcPr>
            <w:tcW w:type="dxa" w:w="2880"/>
          </w:tcPr>
          <w:p>
            <w:r>
              <w:t>状态</w:t>
            </w:r>
          </w:p>
        </w:tc>
      </w:tr>
      <w:tr>
        <w:tc>
          <w:tcPr>
            <w:tcW w:type="dxa" w:w="2880"/>
          </w:tcPr>
          <w:p>
            <w:r>
              <w:t>互联互通智能体研发工作方案0318.pptx</w:t>
            </w:r>
          </w:p>
        </w:tc>
        <w:tc>
          <w:tcPr>
            <w:tcW w:type="dxa" w:w="2880"/>
          </w:tcPr>
          <w:p>
            <w:r>
              <w:t>确定近期目标、评价到报告的工作流、规则优先级和试点交付边界。</w:t>
            </w:r>
          </w:p>
        </w:tc>
        <w:tc>
          <w:tcPr>
            <w:tcW w:type="dxa" w:w="2880"/>
          </w:tcPr>
          <w:p>
            <w:r>
              <w:t>PPT规则源，优先于早期示例报告。</w:t>
            </w:r>
          </w:p>
        </w:tc>
      </w:tr>
      <w:tr>
        <w:tc>
          <w:tcPr>
            <w:tcW w:type="dxa" w:w="2880"/>
          </w:tcPr>
          <w:p>
            <w:r>
              <w:t>评价因子赋值明细表.xlsx</w:t>
            </w:r>
          </w:p>
        </w:tc>
        <w:tc>
          <w:tcPr>
            <w:tcW w:type="dxa" w:w="2880"/>
          </w:tcPr>
          <w:p>
            <w:r>
              <w:t>确定功能、区位、交通、地下四类维度、因子权重和选项赋值。</w:t>
            </w:r>
          </w:p>
        </w:tc>
        <w:tc>
          <w:tcPr>
            <w:tcW w:type="dxa" w:w="2880"/>
          </w:tcPr>
          <w:p>
            <w:r>
              <w:t>当前评分计算的直接依据。</w:t>
            </w:r>
          </w:p>
        </w:tc>
      </w:tr>
      <w:tr>
        <w:tc>
          <w:tcPr>
            <w:tcW w:type="dxa" w:w="2880"/>
          </w:tcPr>
          <w:p>
            <w:r>
              <w:t>20260507反馈</w:t>
            </w:r>
          </w:p>
        </w:tc>
        <w:tc>
          <w:tcPr>
            <w:tcW w:type="dxa" w:w="2880"/>
          </w:tcPr>
          <w:p>
            <w:r>
              <w:t>确认评分口径以Excel/PPT为准，早期样例报告仅作章节和表达参考。</w:t>
            </w:r>
          </w:p>
        </w:tc>
        <w:tc>
          <w:tcPr>
            <w:tcW w:type="dxa" w:w="2880"/>
          </w:tcPr>
          <w:p>
            <w:r>
              <w:t>验收口径确认。</w:t>
            </w:r>
          </w:p>
        </w:tc>
      </w:tr>
      <w:tr>
        <w:tc>
          <w:tcPr>
            <w:tcW w:type="dxa" w:w="2880"/>
          </w:tcPr>
          <w:p>
            <w:r>
              <w:t>车站TOD级别划分整理.xlsx</w:t>
            </w:r>
          </w:p>
        </w:tc>
        <w:tc>
          <w:tcPr>
            <w:tcW w:type="dxa" w:w="2880"/>
          </w:tcPr>
          <w:p>
            <w:r>
              <w:t>提供金家堰的TOD级别、线路和区位能级。</w:t>
            </w:r>
          </w:p>
        </w:tc>
        <w:tc>
          <w:tcPr>
            <w:tcW w:type="dxa" w:w="2880"/>
          </w:tcPr>
          <w:p>
            <w:r>
              <w:t>站点级预评估依据。</w:t>
            </w:r>
          </w:p>
        </w:tc>
      </w:tr>
      <w:tr>
        <w:tc>
          <w:tcPr>
            <w:tcW w:type="dxa" w:w="2880"/>
          </w:tcPr>
          <w:p>
            <w:r>
              <w:t>每站每月日均进站.xlsx</w:t>
            </w:r>
          </w:p>
        </w:tc>
        <w:tc>
          <w:tcPr>
            <w:tcW w:type="dxa" w:w="2880"/>
          </w:tcPr>
          <w:p>
            <w:r>
              <w:t>提供站点日均进站客流，用于交通属性中的出行客流因子。</w:t>
            </w:r>
          </w:p>
        </w:tc>
        <w:tc>
          <w:tcPr>
            <w:tcW w:type="dxa" w:w="2880"/>
          </w:tcPr>
          <w:p>
            <w:r>
              <w:t>每站每月日均进站.xlsx：2025-11日均进站</w:t>
            </w:r>
          </w:p>
        </w:tc>
      </w:tr>
      <w:tr>
        <w:tc>
          <w:tcPr>
            <w:tcW w:type="dxa" w:w="2880"/>
          </w:tcPr>
          <w:p>
            <w:r>
              <w:t>苏州地铁运营站点出入口、联通接口情况梳理统计表20260128.xlsx</w:t>
            </w:r>
          </w:p>
        </w:tc>
        <w:tc>
          <w:tcPr>
            <w:tcW w:type="dxa" w:w="2880"/>
          </w:tcPr>
          <w:p>
            <w:r>
              <w:t>提供出入口、接口、联通形式、开发进度和推进问题线索。</w:t>
            </w:r>
          </w:p>
        </w:tc>
        <w:tc>
          <w:tcPr>
            <w:tcW w:type="dxa" w:w="2880"/>
          </w:tcPr>
          <w:p>
            <w:r>
              <w:t>用于站点上下文和推荐规则分层，不替代正式地块资料。</w:t>
            </w:r>
          </w:p>
        </w:tc>
      </w:tr>
      <w:tr>
        <w:tc>
          <w:tcPr>
            <w:tcW w:type="dxa" w:w="2880"/>
          </w:tcPr>
          <w:p>
            <w:r>
              <w:t>运营公司车站出入口开放及周边配套统计表202604.xlsx</w:t>
            </w:r>
          </w:p>
        </w:tc>
        <w:tc>
          <w:tcPr>
            <w:tcW w:type="dxa" w:w="2880"/>
          </w:tcPr>
          <w:p>
            <w:r>
              <w:t>提供出入口开放、运营管理、周边学校/商业/住宅/公共设施等配套线索。</w:t>
            </w:r>
          </w:p>
        </w:tc>
        <w:tc>
          <w:tcPr>
            <w:tcW w:type="dxa" w:w="2880"/>
          </w:tcPr>
          <w:p>
            <w:r>
              <w:t>用于周边服务对象判断和资料补齐提示。</w:t>
            </w:r>
          </w:p>
        </w:tc>
      </w:tr>
      <w:tr>
        <w:tc>
          <w:tcPr>
            <w:tcW w:type="dxa" w:w="2880"/>
          </w:tcPr>
          <w:p>
            <w:r>
              <w:t>苏州轨道交通站点周边地下公共联通空间设计细则-结题评审修改稿.docx</w:t>
            </w:r>
          </w:p>
        </w:tc>
        <w:tc>
          <w:tcPr>
            <w:tcW w:type="dxa" w:w="2880"/>
          </w:tcPr>
          <w:p>
            <w:r>
              <w:t>作为地下联通空间、接口、无障碍、消防、运营界面等设计控制要求的知识库来源。</w:t>
            </w:r>
          </w:p>
        </w:tc>
        <w:tc>
          <w:tcPr>
            <w:tcW w:type="dxa" w:w="2880"/>
          </w:tcPr>
          <w:p>
            <w:r>
              <w:t>设计建议引用源，具体条款需在深化阶段人工复核。</w:t>
            </w:r>
          </w:p>
        </w:tc>
      </w:tr>
    </w:tbl>
    <w:p>
      <w:pPr>
        <w:pStyle w:val="Heading2"/>
      </w:pPr>
      <w:r>
        <w:t>建议LLM输出结构</w:t>
      </w:r>
    </w:p>
    <w:p>
      <w:pPr>
        <w:pStyle w:val="ListBullet"/>
      </w:pPr>
      <w:r>
        <w:t>综合判断结论</w:t>
      </w:r>
    </w:p>
    <w:p>
      <w:pPr>
        <w:pStyle w:val="ListBullet"/>
      </w:pPr>
      <w:r>
        <w:t>主要依据与引用来源</w:t>
      </w:r>
    </w:p>
    <w:p>
      <w:pPr>
        <w:pStyle w:val="ListBullet"/>
      </w:pPr>
      <w:r>
        <w:t>推荐方案适用性说明</w:t>
      </w:r>
    </w:p>
    <w:p>
      <w:pPr>
        <w:pStyle w:val="ListBullet"/>
      </w:pPr>
      <w:r>
        <w:t>备选方案触发条件</w:t>
      </w:r>
    </w:p>
    <w:p>
      <w:pPr>
        <w:pStyle w:val="ListBullet"/>
      </w:pPr>
      <w:r>
        <w:t>风险与需补齐资料</w:t>
      </w:r>
    </w:p>
    <w:p>
      <w:pPr>
        <w:pStyle w:val="ListBullet"/>
      </w:pPr>
      <w:r>
        <w:t>近期/中期/远期实施建议</w:t>
      </w:r>
    </w:p>
    <w:p>
      <w:pPr>
        <w:pStyle w:val="ListBullet"/>
      </w:pPr>
      <w:r>
        <w:t>人工复核问题清单</w:t>
      </w:r>
    </w:p>
    <w:p>
      <w:pPr>
        <w:pStyle w:val="Heading1"/>
      </w:pPr>
      <w:r>
        <w:t>模型导向研究结构化结果</w:t>
      </w:r>
    </w:p>
    <w:p>
      <w:r>
        <w:t>标杆案例：地下联通商业公服标杆</w:t>
      </w:r>
    </w:p>
    <w:p>
      <w:r>
        <w:t>证据模式：offline_cache</w:t>
      </w:r>
    </w:p>
    <w:p>
      <w:r>
        <w:t>能力状态：本地缓存cache；独立搜索not_configured；模型live；模型联网unverified。</w:t>
      </w:r>
    </w:p>
    <w:p>
      <w:pPr>
        <w:pStyle w:val="Heading2"/>
      </w:pPr>
      <w:r>
        <w:t>研究问题</w:t>
      </w:r>
    </w:p>
    <w:p>
      <w:pPr>
        <w:pStyle w:val="ListBullet"/>
      </w:pPr>
      <w:r>
        <w:t>金家堰在TOD等级、线路换乘、客流和片区功能中承担什么角色？（high）</w:t>
      </w:r>
    </w:p>
    <w:p>
      <w:pPr>
        <w:pStyle w:val="ListBullet"/>
      </w:pPr>
      <w:r>
        <w:t>周边商业、公服、居住、学校、医院、枢纽等服务对象是否形成稳定联通需求？（high）</w:t>
      </w:r>
    </w:p>
    <w:p>
      <w:pPr>
        <w:pStyle w:val="ListBullet"/>
      </w:pPr>
      <w:r>
        <w:t>车站非付费区、出入口、地块地下室和竖向标高是否支持推荐联通方式？（high）</w:t>
      </w:r>
    </w:p>
    <w:p>
      <w:pPr>
        <w:pStyle w:val="ListBullet"/>
      </w:pPr>
      <w:r>
        <w:t>当前项目与“地下联通商业公服标杆”相比，哪些维度应借鉴、哪些条件需复核？（medium）</w:t>
      </w:r>
    </w:p>
    <w:p>
      <w:pPr>
        <w:pStyle w:val="ListBullet"/>
      </w:pPr>
      <w:r>
        <w:t>消防疏散、运营界面、管线权属、风貌景观和建设时序有哪些不确定性？（medium）</w:t>
      </w:r>
    </w:p>
    <w:p>
      <w:pPr>
        <w:pStyle w:val="ListBullet"/>
      </w:pPr>
      <w:r>
        <w:t>正式提资缺项会如何影响评分等级、方案优先级和实施建议？（medium）</w:t>
      </w:r>
    </w:p>
    <w:p>
      <w:pPr>
        <w:pStyle w:val="ListBullet"/>
      </w:pPr>
      <w:r>
        <w:t>地块业态“综合性社区邻里中心”对全天候接驳、导向和运营边界提出哪些特定要求？（medium）</w:t>
      </w:r>
    </w:p>
    <w:p>
      <w:pPr>
        <w:pStyle w:val="Heading2"/>
      </w:pPr>
      <w:r>
        <w:t>代表性证据</w:t>
      </w:r>
    </w:p>
    <w:tbl>
      <w:tblPr>
        <w:tblW w:type="auto" w:w="0"/>
        <w:tblLook w:firstColumn="1" w:firstRow="1" w:lastColumn="0" w:lastRow="0" w:noHBand="0" w:noVBand="1" w:val="04A0"/>
      </w:tblPr>
      <w:tblGrid>
        <w:gridCol w:w="2160"/>
        <w:gridCol w:w="2160"/>
        <w:gridCol w:w="2160"/>
        <w:gridCol w:w="2160"/>
      </w:tblGrid>
      <w:tr>
        <w:tc>
          <w:tcPr>
            <w:tcW w:type="dxa" w:w="2160"/>
          </w:tcPr>
          <w:p>
            <w:r>
              <w:t>标题</w:t>
            </w:r>
          </w:p>
        </w:tc>
        <w:tc>
          <w:tcPr>
            <w:tcW w:type="dxa" w:w="2160"/>
          </w:tcPr>
          <w:p>
            <w:r>
              <w:t>来源</w:t>
            </w:r>
          </w:p>
        </w:tc>
        <w:tc>
          <w:tcPr>
            <w:tcW w:type="dxa" w:w="2160"/>
          </w:tcPr>
          <w:p>
            <w:r>
              <w:t>置信度</w:t>
            </w:r>
          </w:p>
        </w:tc>
        <w:tc>
          <w:tcPr>
            <w:tcW w:type="dxa" w:w="2160"/>
          </w:tcPr>
          <w:p>
            <w:r>
              <w:t>类型</w:t>
            </w:r>
          </w:p>
        </w:tc>
      </w:tr>
      <w:tr>
        <w:tc>
          <w:tcPr>
            <w:tcW w:type="dxa" w:w="2160"/>
          </w:tcPr>
          <w:p>
            <w:r>
              <w:t>苏州地铁运营站点出入口、联通接口情况梳理统计表20260128.xlsx / Sheet1 / 行1-40</w:t>
            </w:r>
          </w:p>
        </w:tc>
        <w:tc>
          <w:tcPr>
            <w:tcW w:type="dxa" w:w="2160"/>
          </w:tcPr>
          <w:p>
            <w:r>
              <w:t>苏州地铁运营站点出入口、联通接口情况梳理统计表20260128.xlsx</w:t>
            </w:r>
          </w:p>
        </w:tc>
        <w:tc>
          <w:tcPr>
            <w:tcW w:type="dxa" w:w="2160"/>
          </w:tcPr>
          <w:p>
            <w:r>
              <w:t>0.86</w:t>
            </w:r>
          </w:p>
        </w:tc>
        <w:tc>
          <w:tcPr>
            <w:tcW w:type="dxa" w:w="2160"/>
          </w:tcPr>
          <w:p>
            <w:r>
              <w:t>缓存</w:t>
            </w:r>
          </w:p>
        </w:tc>
      </w:tr>
      <w:tr>
        <w:tc>
          <w:tcPr>
            <w:tcW w:type="dxa" w:w="2160"/>
          </w:tcPr>
          <w:p>
            <w:r>
              <w:t>苏州地铁运营站点出入口、联通接口情况梳理统计表20260128.xlsx / 6号线 / 行81-160</w:t>
            </w:r>
          </w:p>
        </w:tc>
        <w:tc>
          <w:tcPr>
            <w:tcW w:type="dxa" w:w="2160"/>
          </w:tcPr>
          <w:p>
            <w:r>
              <w:t>苏州地铁运营站点出入口、联通接口情况梳理统计表20260128.xlsx</w:t>
            </w:r>
          </w:p>
        </w:tc>
        <w:tc>
          <w:tcPr>
            <w:tcW w:type="dxa" w:w="2160"/>
          </w:tcPr>
          <w:p>
            <w:r>
              <w:t>0.86</w:t>
            </w:r>
          </w:p>
        </w:tc>
        <w:tc>
          <w:tcPr>
            <w:tcW w:type="dxa" w:w="2160"/>
          </w:tcPr>
          <w:p>
            <w:r>
              <w:t>缓存</w:t>
            </w:r>
          </w:p>
        </w:tc>
      </w:tr>
      <w:tr>
        <w:tc>
          <w:tcPr>
            <w:tcW w:type="dxa" w:w="2160"/>
          </w:tcPr>
          <w:p>
            <w:r>
              <w:t>苏州轨道交通6号线金家堰站东北象限邻里中心地块与车站互联互通必要性评估与设计方案报告.docx / 表格 5</w:t>
            </w:r>
          </w:p>
        </w:tc>
        <w:tc>
          <w:tcPr>
            <w:tcW w:type="dxa" w:w="2160"/>
          </w:tcPr>
          <w:p>
            <w:r>
              <w:t>苏州轨道交通6号线金家堰站东北象限邻里中心地块与车站互联互通必要性评估与设计方案报告.docx</w:t>
            </w:r>
          </w:p>
        </w:tc>
        <w:tc>
          <w:tcPr>
            <w:tcW w:type="dxa" w:w="2160"/>
          </w:tcPr>
          <w:p>
            <w:r>
              <w:t>0.86</w:t>
            </w:r>
          </w:p>
        </w:tc>
        <w:tc>
          <w:tcPr>
            <w:tcW w:type="dxa" w:w="2160"/>
          </w:tcPr>
          <w:p>
            <w:r>
              <w:t>缓存</w:t>
            </w:r>
          </w:p>
        </w:tc>
      </w:tr>
      <w:tr>
        <w:tc>
          <w:tcPr>
            <w:tcW w:type="dxa" w:w="2160"/>
          </w:tcPr>
          <w:p>
            <w:r>
              <w:t>（核心工作思路，最优先）互联互通智能体研发工作方案0318.pptx / 第4页</w:t>
            </w:r>
          </w:p>
        </w:tc>
        <w:tc>
          <w:tcPr>
            <w:tcW w:type="dxa" w:w="2160"/>
          </w:tcPr>
          <w:p>
            <w:r>
              <w:t>（核心工作思路，最优先）互联互通智能体研发工作方案0318.pptx</w:t>
            </w:r>
          </w:p>
        </w:tc>
        <w:tc>
          <w:tcPr>
            <w:tcW w:type="dxa" w:w="2160"/>
          </w:tcPr>
          <w:p>
            <w:r>
              <w:t>0.86</w:t>
            </w:r>
          </w:p>
        </w:tc>
        <w:tc>
          <w:tcPr>
            <w:tcW w:type="dxa" w:w="2160"/>
          </w:tcPr>
          <w:p>
            <w:r>
              <w:t>缓存</w:t>
            </w:r>
          </w:p>
        </w:tc>
      </w:tr>
      <w:tr>
        <w:tc>
          <w:tcPr>
            <w:tcW w:type="dxa" w:w="2160"/>
          </w:tcPr>
          <w:p>
            <w:r>
              <w:t>20231128苏州市轨道交通站城融合设计导则.pdf / 第3页</w:t>
            </w:r>
          </w:p>
        </w:tc>
        <w:tc>
          <w:tcPr>
            <w:tcW w:type="dxa" w:w="2160"/>
          </w:tcPr>
          <w:p>
            <w:r>
              <w:t>20231128苏州市轨道交通站城融合设计导则.pdf</w:t>
            </w:r>
          </w:p>
        </w:tc>
        <w:tc>
          <w:tcPr>
            <w:tcW w:type="dxa" w:w="2160"/>
          </w:tcPr>
          <w:p>
            <w:r>
              <w:t>0.86</w:t>
            </w:r>
          </w:p>
        </w:tc>
        <w:tc>
          <w:tcPr>
            <w:tcW w:type="dxa" w:w="2160"/>
          </w:tcPr>
          <w:p>
            <w:r>
              <w:t>缓存</w:t>
            </w:r>
          </w:p>
        </w:tc>
      </w:tr>
      <w:tr>
        <w:tc>
          <w:tcPr>
            <w:tcW w:type="dxa" w:w="2160"/>
          </w:tcPr>
          <w:p>
            <w:r>
              <w:t>苏州轨道交通站点周边地下公共联通空间设计细则-结题评审修改稿.docx / 表格 1</w:t>
            </w:r>
          </w:p>
        </w:tc>
        <w:tc>
          <w:tcPr>
            <w:tcW w:type="dxa" w:w="2160"/>
          </w:tcPr>
          <w:p>
            <w:r>
              <w:t>苏州轨道交通站点周边地下公共联通空间设计细则-结题评审修改稿.docx</w:t>
            </w:r>
          </w:p>
        </w:tc>
        <w:tc>
          <w:tcPr>
            <w:tcW w:type="dxa" w:w="2160"/>
          </w:tcPr>
          <w:p>
            <w:r>
              <w:t>0.86</w:t>
            </w:r>
          </w:p>
        </w:tc>
        <w:tc>
          <w:tcPr>
            <w:tcW w:type="dxa" w:w="2160"/>
          </w:tcPr>
          <w:p>
            <w:r>
              <w:t>缓存</w:t>
            </w:r>
          </w:p>
        </w:tc>
      </w:tr>
      <w:tr>
        <w:tc>
          <w:tcPr>
            <w:tcW w:type="dxa" w:w="2160"/>
          </w:tcPr>
          <w:p>
            <w:r>
              <w:t>苏州轨道交通4号线清树湾站东南象限青年公寓地块与车站互联互通必要性评估与设计方案报告.docx / 段落 50</w:t>
            </w:r>
          </w:p>
        </w:tc>
        <w:tc>
          <w:tcPr>
            <w:tcW w:type="dxa" w:w="2160"/>
          </w:tcPr>
          <w:p>
            <w:r>
              <w:t>苏州轨道交通4号线清树湾站东南象限青年公寓地块与车站互联互通必要性评估与设计方案报告.docx</w:t>
            </w:r>
          </w:p>
        </w:tc>
        <w:tc>
          <w:tcPr>
            <w:tcW w:type="dxa" w:w="2160"/>
          </w:tcPr>
          <w:p>
            <w:r>
              <w:t>0.86</w:t>
            </w:r>
          </w:p>
        </w:tc>
        <w:tc>
          <w:tcPr>
            <w:tcW w:type="dxa" w:w="2160"/>
          </w:tcPr>
          <w:p>
            <w:r>
              <w:t>缓存</w:t>
            </w:r>
          </w:p>
        </w:tc>
      </w:tr>
      <w:tr>
        <w:tc>
          <w:tcPr>
            <w:tcW w:type="dxa" w:w="2160"/>
          </w:tcPr>
          <w:p>
            <w:r>
              <w:t>苏州轨道交通4号线清树湾站东南象限青年公寓地块与车站互联互通必要性评估与设计方案报告.docx / 段落 56</w:t>
            </w:r>
          </w:p>
        </w:tc>
        <w:tc>
          <w:tcPr>
            <w:tcW w:type="dxa" w:w="2160"/>
          </w:tcPr>
          <w:p>
            <w:r>
              <w:t>苏州轨道交通4号线清树湾站东南象限青年公寓地块与车站互联互通必要性评估与设计方案报告.docx</w:t>
            </w:r>
          </w:p>
        </w:tc>
        <w:tc>
          <w:tcPr>
            <w:tcW w:type="dxa" w:w="2160"/>
          </w:tcPr>
          <w:p>
            <w:r>
              <w:t>0.86</w:t>
            </w:r>
          </w:p>
        </w:tc>
        <w:tc>
          <w:tcPr>
            <w:tcW w:type="dxa" w:w="2160"/>
          </w:tcPr>
          <w:p>
            <w:r>
              <w:t>缓存</w:t>
            </w:r>
          </w:p>
        </w:tc>
      </w:tr>
      <w:tr>
        <w:tc>
          <w:tcPr>
            <w:tcW w:type="dxa" w:w="2160"/>
          </w:tcPr>
          <w:p>
            <w:r>
              <w:t>苏州轨道交通6号线金家堰站东北象限邻里中心地块与车站互联互通必要性评估与设计方案报告.docx / 段落 55</w:t>
            </w:r>
          </w:p>
        </w:tc>
        <w:tc>
          <w:tcPr>
            <w:tcW w:type="dxa" w:w="2160"/>
          </w:tcPr>
          <w:p>
            <w:r>
              <w:t>苏州轨道交通6号线金家堰站东北象限邻里中心地块与车站互联互通必要性评估与设计方案报告.docx</w:t>
            </w:r>
          </w:p>
        </w:tc>
        <w:tc>
          <w:tcPr>
            <w:tcW w:type="dxa" w:w="2160"/>
          </w:tcPr>
          <w:p>
            <w:r>
              <w:t>0.86</w:t>
            </w:r>
          </w:p>
        </w:tc>
        <w:tc>
          <w:tcPr>
            <w:tcW w:type="dxa" w:w="2160"/>
          </w:tcPr>
          <w:p>
            <w:r>
              <w:t>缓存</w:t>
            </w:r>
          </w:p>
        </w:tc>
      </w:tr>
      <w:tr>
        <w:tc>
          <w:tcPr>
            <w:tcW w:type="dxa" w:w="2160"/>
          </w:tcPr>
          <w:p>
            <w:r>
              <w:t>规则评分与等级</w:t>
            </w:r>
          </w:p>
        </w:tc>
        <w:tc>
          <w:tcPr>
            <w:tcW w:type="dxa" w:w="2160"/>
          </w:tcPr>
          <w:p>
            <w:r>
              <w:t>评价因子赋值明细表.xlsx / 后端规则引擎</w:t>
            </w:r>
          </w:p>
        </w:tc>
        <w:tc>
          <w:tcPr>
            <w:tcW w:type="dxa" w:w="2160"/>
          </w:tcPr>
          <w:p>
            <w:r>
              <w:t>1.0</w:t>
            </w:r>
          </w:p>
        </w:tc>
        <w:tc>
          <w:tcPr>
            <w:tcW w:type="dxa" w:w="2160"/>
          </w:tcPr>
          <w:p>
            <w:r>
              <w:t>缓存</w:t>
            </w:r>
          </w:p>
        </w:tc>
      </w:tr>
      <w:tr>
        <w:tc>
          <w:tcPr>
            <w:tcW w:type="dxa" w:w="2160"/>
          </w:tcPr>
          <w:p>
            <w:r>
              <w:t>金家堰客流线索</w:t>
            </w:r>
          </w:p>
        </w:tc>
        <w:tc>
          <w:tcPr>
            <w:tcW w:type="dxa" w:w="2160"/>
          </w:tcPr>
          <w:p>
            <w:r>
              <w:t>每站每月日均进站.xlsx：2025-11日均进站</w:t>
            </w:r>
          </w:p>
        </w:tc>
        <w:tc>
          <w:tcPr>
            <w:tcW w:type="dxa" w:w="2160"/>
          </w:tcPr>
          <w:p>
            <w:r>
              <w:t>0.92</w:t>
            </w:r>
          </w:p>
        </w:tc>
        <w:tc>
          <w:tcPr>
            <w:tcW w:type="dxa" w:w="2160"/>
          </w:tcPr>
          <w:p>
            <w:r>
              <w:t>缓存</w:t>
            </w:r>
          </w:p>
        </w:tc>
      </w:tr>
      <w:tr>
        <w:tc>
          <w:tcPr>
            <w:tcW w:type="dxa" w:w="2160"/>
          </w:tcPr>
          <w:p>
            <w:r>
              <w:t>金家堰出入口与联通接口</w:t>
            </w:r>
          </w:p>
        </w:tc>
        <w:tc>
          <w:tcPr>
            <w:tcW w:type="dxa" w:w="2160"/>
          </w:tcPr>
          <w:p>
            <w:r>
              <w:t>苏州地铁运营站点出入口、联通接口情况梳理统计表20260128.xlsx</w:t>
            </w:r>
          </w:p>
        </w:tc>
        <w:tc>
          <w:tcPr>
            <w:tcW w:type="dxa" w:w="2160"/>
          </w:tcPr>
          <w:p>
            <w:r>
              <w:t>0.9</w:t>
            </w:r>
          </w:p>
        </w:tc>
        <w:tc>
          <w:tcPr>
            <w:tcW w:type="dxa" w:w="2160"/>
          </w:tcPr>
          <w:p>
            <w:r>
              <w:t>缓存</w:t>
            </w:r>
          </w:p>
        </w:tc>
      </w:tr>
    </w:tbl>
    <w:p>
      <w:pPr>
        <w:pStyle w:val="Heading2"/>
      </w:pPr>
      <w:r>
        <w:t>动态维度研判</w:t>
      </w:r>
    </w:p>
    <w:p>
      <w:pPr>
        <w:pStyle w:val="ListBullet"/>
      </w:pPr>
      <w:r>
        <w:t>城市界面与站城融合：本地证据可支撑方向性判断，仍需专项资料复核。；置信度：0.62</w:t>
      </w:r>
    </w:p>
    <w:p>
      <w:pPr>
        <w:pStyle w:val="ListBullet"/>
      </w:pPr>
      <w:r>
        <w:t>慢行可达与无障碍连续性：本地证据可支撑方向性判断，仍需专项资料复核。；置信度：0.62</w:t>
      </w:r>
    </w:p>
    <w:p>
      <w:pPr>
        <w:pStyle w:val="ListBullet"/>
      </w:pPr>
      <w:r>
        <w:t>服务对象与功能复合：本地证据可支撑方向性判断，仍需专项资料复核。；置信度：0.62</w:t>
      </w:r>
    </w:p>
    <w:p>
      <w:pPr>
        <w:pStyle w:val="ListBullet"/>
      </w:pPr>
      <w:r>
        <w:t>工程接口与竖向条件：本地证据可支撑方向性判断，仍需专项资料复核。；置信度：0.62</w:t>
      </w:r>
    </w:p>
    <w:p>
      <w:pPr>
        <w:pStyle w:val="ListBullet"/>
      </w:pPr>
      <w:r>
        <w:t>运营管理与安全边界：本地证据可支撑方向性判断，仍需专项资料复核。；置信度：0.62</w:t>
      </w:r>
    </w:p>
    <w:p>
      <w:pPr>
        <w:pStyle w:val="ListBullet"/>
      </w:pPr>
      <w:r>
        <w:t>实施时序与投资协同：本地证据可支撑方向性判断，仍需专项资料复核。；置信度：0.62</w:t>
      </w:r>
    </w:p>
    <w:p>
      <w:pPr>
        <w:pStyle w:val="ListBullet"/>
      </w:pPr>
      <w:r>
        <w:t>地下公共空间：本地证据可支撑方向性判断，仍需专项资料复核。；置信度：0.62</w:t>
      </w:r>
    </w:p>
    <w:p>
      <w:pPr>
        <w:pStyle w:val="ListBullet"/>
      </w:pPr>
      <w:r>
        <w:t>商业公服服务对象：本地证据可支撑方向性判断，仍需专项资料复核。；置信度：0.62</w:t>
      </w:r>
    </w:p>
    <w:p>
      <w:pPr>
        <w:pStyle w:val="ListBullet"/>
      </w:pPr>
      <w:r>
        <w:t>接口竖向：本地证据可支撑方向性判断，仍需专项资料复核。；置信度：0.62</w:t>
      </w:r>
    </w:p>
    <w:p>
      <w:pPr>
        <w:pStyle w:val="ListBullet"/>
      </w:pPr>
      <w:r>
        <w:t>全天候接驳：本地证据可支撑方向性判断，仍需专项资料复核。；置信度：0.62</w:t>
      </w:r>
    </w:p>
    <w:p>
      <w:pPr>
        <w:pStyle w:val="Heading1"/>
      </w:pPr>
      <w:r>
        <w:t>规则口径说明</w:t>
      </w:r>
    </w:p>
    <w:p>
      <w:r>
        <w:t>本报告按《互联互通智能体研发工作方案0318.pptx》近期目标口径生成；评分口径以20260507反馈和《评价因子赋值明细表.xlsx》为准，旧示例报告仅作章节与表达参考。</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