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金家堰邻里中心</w:t>
      </w:r>
    </w:p>
    <w:p>
      <w:r>
        <w:t>地块编号：6-JJY-2026-001</w:t>
      </w:r>
    </w:p>
    <w:p>
      <w:r>
        <w:t>综合评分（百分制）：62.03分</w:t>
      </w:r>
    </w:p>
    <w:p>
      <w:r>
        <w:t>原始加权分：2.5306 / 4.0795</w:t>
      </w:r>
    </w:p>
    <w:p>
      <w:r>
        <w:t>联通等级：尽连地块</w:t>
      </w:r>
    </w:p>
    <w:p>
      <w:r>
        <w:t>推荐方式：地下主通道</w:t>
      </w:r>
    </w:p>
    <w:p>
      <w:r>
        <w:t>数据完整度：6/6</w:t>
      </w:r>
    </w:p>
    <w:p>
      <w:pPr>
        <w:pStyle w:val="Heading1"/>
      </w:pPr>
      <w:r>
        <w:t>推荐方案与备选方案</w:t>
      </w:r>
    </w:p>
    <w:tbl>
      <w:tblPr>
        <w:tblW w:type="auto" w:w="0"/>
        <w:tblLook w:firstColumn="1" w:firstRow="1" w:lastColumn="0" w:lastRow="0" w:noHBand="0" w:noVBand="1" w:val="04A0"/>
      </w:tblPr>
      <w:tblGrid>
        <w:gridCol w:w="2160"/>
        <w:gridCol w:w="2160"/>
        <w:gridCol w:w="2160"/>
        <w:gridCol w:w="2160"/>
      </w:tblGrid>
      <w:tr>
        <w:tc>
          <w:tcPr>
            <w:tcW w:type="dxa" w:w="2160"/>
          </w:tcPr>
          <w:p>
            <w:r>
              <w:t>类型</w:t>
            </w:r>
          </w:p>
        </w:tc>
        <w:tc>
          <w:tcPr>
            <w:tcW w:type="dxa" w:w="2160"/>
          </w:tcPr>
          <w:p>
            <w:r>
              <w:t>名称</w:t>
            </w:r>
          </w:p>
        </w:tc>
        <w:tc>
          <w:tcPr>
            <w:tcW w:type="dxa" w:w="2160"/>
          </w:tcPr>
          <w:p>
            <w:r>
              <w:t>类别</w:t>
            </w:r>
          </w:p>
        </w:tc>
        <w:tc>
          <w:tcPr>
            <w:tcW w:type="dxa" w:w="2160"/>
          </w:tcPr>
          <w:p>
            <w:r>
              <w:t>核心适用场景</w:t>
            </w:r>
          </w:p>
        </w:tc>
      </w:tr>
      <w:tr>
        <w:tc>
          <w:tcPr>
            <w:tcW w:type="dxa" w:w="2160"/>
          </w:tcPr>
          <w:p>
            <w:r>
              <w:t>推荐</w:t>
            </w:r>
          </w:p>
        </w:tc>
        <w:tc>
          <w:tcPr>
            <w:tcW w:type="dxa" w:w="2160"/>
          </w:tcPr>
          <w:p>
            <w:r>
              <w:t>地下主通道</w:t>
            </w:r>
          </w:p>
        </w:tc>
        <w:tc>
          <w:tcPr>
            <w:tcW w:type="dxa" w:w="2160"/>
          </w:tcPr>
          <w:p>
            <w:r>
              <w:t>地下联通</w:t>
            </w:r>
          </w:p>
        </w:tc>
        <w:tc>
          <w:tcPr>
            <w:tcW w:type="dxa" w:w="2160"/>
          </w:tcPr>
          <w:p>
            <w:r>
              <w:t>必连地块、尽连地块、商业公服、交通枢纽、地下公共空间</w:t>
            </w:r>
          </w:p>
        </w:tc>
      </w:tr>
      <w:tr>
        <w:tc>
          <w:tcPr>
            <w:tcW w:type="dxa" w:w="2160"/>
          </w:tcPr>
          <w:p>
            <w:r>
              <w:t>备选</w:t>
            </w:r>
          </w:p>
        </w:tc>
        <w:tc>
          <w:tcPr>
            <w:tcW w:type="dxa" w:w="2160"/>
          </w:tcPr>
          <w:p>
            <w:r>
              <w:t>地下次通道</w:t>
            </w:r>
          </w:p>
        </w:tc>
        <w:tc>
          <w:tcPr>
            <w:tcW w:type="dxa" w:w="2160"/>
          </w:tcPr>
          <w:p>
            <w:r>
              <w:t>地下联通</w:t>
            </w:r>
          </w:p>
        </w:tc>
        <w:tc>
          <w:tcPr>
            <w:tcW w:type="dxa" w:w="2160"/>
          </w:tcPr>
          <w:p>
            <w:r>
              <w:t>尽连地块、可连地块、停车接驳、接口预留</w:t>
            </w:r>
          </w:p>
        </w:tc>
      </w:tr>
      <w:tr>
        <w:tc>
          <w:tcPr>
            <w:tcW w:type="dxa" w:w="2160"/>
          </w:tcPr>
          <w:p>
            <w:r>
              <w:t>备选</w:t>
            </w:r>
          </w:p>
        </w:tc>
        <w:tc>
          <w:tcPr>
            <w:tcW w:type="dxa" w:w="2160"/>
          </w:tcPr>
          <w:p>
            <w:r>
              <w:t>风雨连廊</w:t>
            </w:r>
          </w:p>
        </w:tc>
        <w:tc>
          <w:tcPr>
            <w:tcW w:type="dxa" w:w="2160"/>
          </w:tcPr>
          <w:p>
            <w:r>
              <w:t>地面联通</w:t>
            </w:r>
          </w:p>
        </w:tc>
        <w:tc>
          <w:tcPr>
            <w:tcW w:type="dxa" w:w="2160"/>
          </w:tcPr>
          <w:p>
            <w:r>
              <w:t>居住类、学校医院、青年公寓、社区公服、无地下公共空间</w:t>
            </w:r>
          </w:p>
        </w:tc>
      </w:tr>
    </w:tbl>
    <w:p>
      <w:pPr>
        <w:pStyle w:val="Heading1"/>
      </w:pPr>
      <w:r>
        <w:t>1. 核心结论：建议实施地下主通道联通，但须先完成四项关键条件复核</w:t>
      </w:r>
    </w:p>
    <w:p>
      <w:r>
        <w:t>本项目综合评分62.03分，判定为"尽连地块"，政策导向为"必要性次之，应尽量联通；优先推动接口条件、建设协同和方案比选"。基于这一评分锁定结论，结合金家堰站3号口与邻里中心地块的相对位置、地下空间条件及周边服务对象特征，本报告明确推荐采用地下主通道作为首选联通方式。该结论并非单纯依据客流规模——当前日均进站约686人次属于中等水平——而是因为地块功能属性得分1.3359、地下属性得分0.5716均显著高于区位与交通维度得分，反映出公共服务导向型开发对全天候、无障碍、高品质接驳的内在需求。参照地下联通商业公服标杆经验，此类项目成败关键在于接口成熟度而非客流绝对值，因此建议在方案推进前必须完成四项关键条件复核：一是车站站厅非付费区预留接口的精确平面位置与竖向标高是否匹配地块地下二层结构；二是地块地下空间的功能分区是否已将公共通道与停车、设备用房明确分离；三是消防分区、防排烟系统与疏散路径能否满足现行建筑防火规范对地下公共联通空间的要求；四是投资主体、建设时序、运营边界是否已有责任主体牵头协调。若上述条件经复核均可落实，则地下主通道具备较高可行性；若任一条件存在重大障碍，应启动风雨连廊作为过渡方案，并同步预留远期地下连通接口。</w:t>
      </w:r>
    </w:p>
    <w:p>
      <w:pPr>
        <w:pStyle w:val="Heading1"/>
      </w:pPr>
      <w:r>
        <w:t>2. 必要性判断：从尽连地块政策导向到公共服务功能落地的因果链条</w:t>
      </w:r>
    </w:p>
    <w:p>
      <w:r>
        <w:t>本项目被判定为尽连地块而非必连地块，意味着政策层面不强制要求联通，但基于公共服务属性与站城融合理念应尽量推动。这一判断的因果逻辑需从三个层面展开。第一，功能属性层面，地块为综合性社区邻里中心，承载商业、公共服务、社区管理等多重功能，其服务对象包括人大附中苏州学校师生、仁恒华发雅苑与月上海棠轩未来入住居民、以及周边产业人群，这些人群对轨道接驳存在稳定且刚性的需求，但需求特征并非高峰通勤型，而是全天候、多目的、伴随性出行，因此更需要舒适、连续的步行环境而非单纯的距离最短。第二，地下属性层面，地块已建地下两层空间，包含停车、设备用房及公共服务/商业配套空间，这一条件为地下联通提供了物理载体；参照本地设计细则，周边地下空间类型属于"片区重点地下空间-核心开发区"，商业与公共服务功能均标记为优先适配（●），地下主通道与下沉广场、地下中庭被列为优先校核的联通形式。第三，区位与交通属性层面，地块位于200m核心开发区东北象限，虽非城市级核心节点，但作为组团级TOD的社区服务中心，其辐射范围与轨道站点的服务半径高度重合，且3号口已明确为邻里中心地块的主要接驳出口，这一规划意图为联通方案提供了方向性指引。综合上述因素，尽连地块的政策导向在本项目转化为"应尽量联通"的实操建议，而地下主通道因其对公共服务功能、全天候通行、站城空间一体化的最佳适配性成为首选。</w:t>
      </w:r>
    </w:p>
    <w:p>
      <w:pPr>
        <w:pStyle w:val="Heading1"/>
      </w:pPr>
      <w:r>
        <w:t>3. 方案比选：地下主通道、地下次通道与风雨连廊的适配性比较</w:t>
      </w:r>
    </w:p>
    <w:p>
      <w:r>
        <w:t>基于本地设计指引与标杆案例经验，本项目三类联通方式的比选需从场景适配、空间效能、工程条件、运营边界四个维度展开。地下主通道的核心优势在于可直接衔接车站站厅非付费区与地块地下一层公共中庭，实现全天候无缝接驳，完美匹配邻里中心商业、公服业态的客流引流需求，与地块地下空间高度契合；其空间尺度按本地设计细则控制，主通道净宽不宜小于5m、净高不宜小于3m，兼有商业设施时结合单侧/双侧布置提高净宽，兼有休憩功能时净高宜提高，这一尺度可支撑双向高峰客流与商业展示、休憩停留的复合功能。地下次通道仅满足基础通行功能，净宽不宜小于4m、净高不宜小于2.5m，无法匹配大型邻里中心的大客流集散需求，空间尺度与业态适配性不足，适用于尽连地块中接口条件受限或投资规模严控的场景。风雨连廊属于地面联通，可实现车站3号出入口与地块主入口的全天候步行接驳，建设成本低、审批流程简单、施工周期短，适用于地下空间暂不具备连通条件的过渡阶段；但参照本地设计指引，地面风雨连廊应结合场地消防组织满足消防通道与救援要求，且需占用金堰路东侧人行道空间，对城市界面连续性、行道树保护、无障碍坡道设置均提出额外要求。综合比较，地下主通道在功能复合性、空间品质、远期弹性上显著优于后两者，但工程复杂度与协调难度也最高；当前推荐以地下主通道为首选，但须以接口条件、消防分区、运营边界的专项复核为前提，若复核中发现重大障碍，则降级为风雨连廊过渡方案。</w:t>
      </w:r>
    </w:p>
    <w:p>
      <w:pPr>
        <w:pStyle w:val="Heading1"/>
      </w:pPr>
      <w:r>
        <w:t>4. 推荐方案设计：从3号口非付费区到地块地下公共空间的系统构建</w:t>
      </w:r>
    </w:p>
    <w:p>
      <w:r>
        <w:t>推荐方案的设计范围起于金家堰站3号口对应站厅层非付费区预留接口，止于金家堰邻里中心地块地下一层公共中庭或下沉广场，路径沿金堰路东侧地下空间线性组织，总长度宜控制在80-120m。竖向关系上，车站站厅层标高与地块地下一层标高的高差需经精确测量后确定通道坡度，参照无障碍规范，坡道坡度不应大于1:12，若高差超过规范允许范围，应设置无障碍电梯或缓坡平台。平面组织上，通道应保持路径短直、视线通透、节点可识别，起终点设置必要集散空间，宽度不小于通道净宽的1.5倍；通道与地块地下公共空间的衔接点应位于公共中庭或下沉广场边缘，避免直接接入停车区域或设备用房，确保公共属性的连续性。空间尺度上，主通道净宽按5-6m控制，净高按3.2-3.5m控制，为远期商业植入、艺术展示、智慧设施预留条件；墙面、顶面、地面的材料选择应兼顾耐久性、易维护性与导向识别性，照明设计应满足地下空间的昼夜节律调节需求。功能复合上，通道可结合单侧或双侧布置商业服务设施，但须保证通行净宽不小于4m，商业设施不得遮挡导向标识、消防设施与疏散出口；若设置休憩设施，应结合通道节点空间布置，避免对主流线造成干扰。接口技术上，车站与地块的防水节点、变形缝、防火分隔墙需专项设计，参照地铁设计规范与地下工程防水技术规范，确保运营期不渗漏、不窜烟；结构连接方式优先采用脱开式，若采用整体式需经专项论证。</w:t>
      </w:r>
    </w:p>
    <w:p>
      <w:pPr>
        <w:pStyle w:val="Heading1"/>
      </w:pPr>
      <w:r>
        <w:t>5. 规范与技术要求：从本地导则到国家标准的控制体系</w:t>
      </w:r>
    </w:p>
    <w:p>
      <w:r>
        <w:t>本方案的技术控制需建立三层规范依据链。第一层为本地设计指引，《苏州市轨道交通站城融合设计导则》从城市设计层面提出功能、交通、空间一体化的总体引导，《轨道站点出入口周边空间一体化设计指引》从建筑设计层面明确地下联通应以无障碍为出发点、保持视线通透、设置导向标识设施，《苏州轨道交通站点周边地下公共联通空间设计细则》则给出具体指标：主通道净宽不宜小于5m、净高不宜小于3m，普通通道净宽不宜小于4m、净高不宜小于2.5m，兼有休憩功能时净宽不宜小于4.5m、净高不宜小于3m。第二层为国家规范体系，现行《地铁设计规范》对地下联通的防火分区、防排烟、疏散距离、应急照明提出控制要求，《建筑设计防火规范》对地下公共空间的耐火等级、防火分隔、安全出口数量与宽度提出强制性要求，《无障碍设计规范》对轮椅通行净宽、坡道坡度、盲道衔接、扶手设置提出全年龄友好标准，《地下工程防水技术规范》对防水等级、设防要求、材料性能提出耐久性标准。第三层为运营安全要求，联通空间作为车站与地块的共用区域，需明确开放时段、管理边界、安防监控、维护保养、突发事件联动的责任主体与协作机制，参照苏州地铁既有联通项目经验，建议采用"车站主导、地块配合、联合巡查、应急联动"的运营模式，日常管理由车站运营单位负责，地块物业配合设施维护与秩序管理，双方建立24小时联络机制与季度联合演练制度。上述三层控制体系需在方案深化阶段逐条落实，形成合规性校验清单，作为施工图审查与运营接管的前置条件。</w:t>
      </w:r>
    </w:p>
    <w:p>
      <w:pPr>
        <w:pStyle w:val="Heading1"/>
      </w:pPr>
      <w:r>
        <w:t>6. 风险识别与实施建议：从资料补齐到运营接管的全程管控</w:t>
      </w:r>
    </w:p>
    <w:p>
      <w:r>
        <w:t>本项目当前存在三类中等级别风险，需在实施全程重点管控。资料缺项风险方面，现阶段可复核资料包括地块控制性详细规划图则、规划条件、概念设计方案，以及车站接口情况梳理统计表反映的"站厅非付费区预留远期接驳接口，接口位置与地块地下空间竖向标高匹配"，但地块正式施工图、车站结构竣工图、管线综合图、人防设防图等关键资料尚未补齐，推荐方案需随资料补齐进程复核，若接口标高、结构形式、防水节点与当前假设存在偏差，应调整通道坡度或衔接方式。工程接口风险方面，车站与地块的建设时序、投资分担、权属边界尚未明确，参照清树湾站青年公寓等同类项目经验，建议尽早确立"轨道建设方预留接口、地块建设方实施通道、双方共担公共区域"的协作模式，并在地块土地出让条件或规划条件中予以明确；若地块已出让，应通过补充协议或会议纪要固化各方责任。运营协同风险方面，开放时段、管理边界、安防责任、维护费用需在方案深化阶段同步明确，避免建成后的权责纠纷；参照地下联通商业公服标杆经验，此类项目常见问题是地块商业运营方希望延长通道开放时间以带动夜间消费，而车站运营方基于安全管控希望按时关闭，这一矛盾需在前期通过分时管理、独立出入口、智慧安防等技术手段化解。实施时序上，建议近期（3个月内）完成资料补齐清单与责任主体确认，中期（6-12个月）完成工程可行性研究与消防专项论证，远期（12-24个月）完成施工图设计与施工，并与地块主体结构同步竣工、同步验收、同步投用；若地块建设进度超前，应优先实施风雨连廊保障基本接驳，地下通道作为二期工程择机实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