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金家堰邻里中心</w:t>
      </w:r>
    </w:p>
    <w:p>
      <w:r>
        <w:t>地块编号：6-JJY-2026-001</w:t>
      </w:r>
    </w:p>
    <w:p>
      <w:r>
        <w:t>综合评分（百分制）：62.03分</w:t>
      </w:r>
    </w:p>
    <w:p>
      <w:r>
        <w:t>原始加权分：2.5306 / 4.0795</w:t>
      </w:r>
    </w:p>
    <w:p>
      <w:r>
        <w:t>联通等级：尽连地块</w:t>
      </w:r>
    </w:p>
    <w:p>
      <w:r>
        <w:t>推荐方式：地下主通道</w:t>
      </w:r>
    </w:p>
    <w:p>
      <w:r>
        <w:t>数据完整度：6/6</w:t>
      </w:r>
    </w:p>
    <w:p>
      <w:pPr>
        <w:pStyle w:val="Heading1"/>
      </w:pPr>
      <w:r>
        <w:t>推荐方案与备选方案</w:t>
      </w:r>
    </w:p>
    <w:tbl>
      <w:tblPr>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名称</w:t>
            </w:r>
          </w:p>
        </w:tc>
        <w:tc>
          <w:tcPr>
            <w:tcW w:type="dxa" w:w="2160"/>
          </w:tcPr>
          <w:p>
            <w:r>
              <w:t>类别</w:t>
            </w:r>
          </w:p>
        </w:tc>
        <w:tc>
          <w:tcPr>
            <w:tcW w:type="dxa" w:w="2160"/>
          </w:tcPr>
          <w:p>
            <w:r>
              <w:t>核心适用场景</w:t>
            </w:r>
          </w:p>
        </w:tc>
      </w:tr>
      <w:tr>
        <w:tc>
          <w:tcPr>
            <w:tcW w:type="dxa" w:w="2160"/>
          </w:tcPr>
          <w:p>
            <w:r>
              <w:t>推荐</w:t>
            </w:r>
          </w:p>
        </w:tc>
        <w:tc>
          <w:tcPr>
            <w:tcW w:type="dxa" w:w="2160"/>
          </w:tcPr>
          <w:p>
            <w:r>
              <w:t>地下主通道</w:t>
            </w:r>
          </w:p>
        </w:tc>
        <w:tc>
          <w:tcPr>
            <w:tcW w:type="dxa" w:w="2160"/>
          </w:tcPr>
          <w:p>
            <w:r>
              <w:t>地下联通</w:t>
            </w:r>
          </w:p>
        </w:tc>
        <w:tc>
          <w:tcPr>
            <w:tcW w:type="dxa" w:w="2160"/>
          </w:tcPr>
          <w:p>
            <w:r>
              <w:t>必连地块、尽连地块、商业公服、交通枢纽、地下公共空间</w:t>
            </w:r>
          </w:p>
        </w:tc>
      </w:tr>
      <w:tr>
        <w:tc>
          <w:tcPr>
            <w:tcW w:type="dxa" w:w="2160"/>
          </w:tcPr>
          <w:p>
            <w:r>
              <w:t>备选</w:t>
            </w:r>
          </w:p>
        </w:tc>
        <w:tc>
          <w:tcPr>
            <w:tcW w:type="dxa" w:w="2160"/>
          </w:tcPr>
          <w:p>
            <w:r>
              <w:t>地下次通道</w:t>
            </w:r>
          </w:p>
        </w:tc>
        <w:tc>
          <w:tcPr>
            <w:tcW w:type="dxa" w:w="2160"/>
          </w:tcPr>
          <w:p>
            <w:r>
              <w:t>地下联通</w:t>
            </w:r>
          </w:p>
        </w:tc>
        <w:tc>
          <w:tcPr>
            <w:tcW w:type="dxa" w:w="2160"/>
          </w:tcPr>
          <w:p>
            <w:r>
              <w:t>尽连地块、可连地块、停车接驳、接口预留</w:t>
            </w:r>
          </w:p>
        </w:tc>
      </w:tr>
      <w:tr>
        <w:tc>
          <w:tcPr>
            <w:tcW w:type="dxa" w:w="2160"/>
          </w:tcPr>
          <w:p>
            <w:r>
              <w:t>备选</w:t>
            </w:r>
          </w:p>
        </w:tc>
        <w:tc>
          <w:tcPr>
            <w:tcW w:type="dxa" w:w="2160"/>
          </w:tcPr>
          <w:p>
            <w:r>
              <w:t>风雨连廊</w:t>
            </w:r>
          </w:p>
        </w:tc>
        <w:tc>
          <w:tcPr>
            <w:tcW w:type="dxa" w:w="2160"/>
          </w:tcPr>
          <w:p>
            <w:r>
              <w:t>地面联通</w:t>
            </w:r>
          </w:p>
        </w:tc>
        <w:tc>
          <w:tcPr>
            <w:tcW w:type="dxa" w:w="2160"/>
          </w:tcPr>
          <w:p>
            <w:r>
              <w:t>居住类、学校医院、青年公寓、社区公服、无地下公共空间</w:t>
            </w:r>
          </w:p>
        </w:tc>
      </w:tr>
    </w:tbl>
    <w:p>
      <w:pPr>
        <w:pStyle w:val="Heading1"/>
      </w:pPr>
      <w:r>
        <w:t>1. 核心结论：建议实施地下主通道联通，但须先完成四项关键条件复核</w:t>
      </w:r>
    </w:p>
    <w:p>
      <w:r>
        <w:t>本项目综合评分62.03分，判定为"尽连地块"，政策导向为"应尽量联通，优先推动接口条件、建设协同和方案比选"。基于这一评分锁定结论，结合金家堰站3号口与邻里中心地块的相对位置、地下空间条件及周边服务对象特征，本报告明确建议采用地下主通道作为首选联通方式。该判断的核心逻辑在于：地块功能属性为综合性社区邻里中心，兼具商业、公共服务和社区配套功能，对全天候、无障碍、风雨无阻的客流组织有刚性需求；站点站厅非付费区已预留远期接驳接口，且接口位置与地块地下空间竖向标高初步匹配，为地下通道实施提供了工程可行性基础；参照地下联通商业公服标杆经验，此类业态组合若缺乏地下无缝衔接，将显著削弱轨道客流与邻里中心的双向引流效率，且地面风雨连廊难以满足大型公共服务设施的高峰集散需求。但必须前置声明：本推荐成立的前提是四项关键条件须先行复核确认——地块正式规划指标与当前录入资料的一致性、车站接口标高及结构条件的精确性、消防分区与运营边界的可协调性、以及建设时序与投资分担的责任主体明确性。若上述条件任一项出现重大偏差，应启动备选方案或暂缓实施。</w:t>
      </w:r>
    </w:p>
    <w:p>
      <w:pPr>
        <w:pStyle w:val="Heading1"/>
      </w:pPr>
      <w:r>
        <w:t>2. 必要性研判：从客流规模转向服务品质与站城融合深度</w:t>
      </w:r>
    </w:p>
    <w:p>
      <w:r>
        <w:t>金家堰站当前日均进站客流约686人次，从绝对数值看属于中等偏下水平，若仅以客流规模作为联通必要性判断依据，极易低估本项目的战略价值。本报告采用多维度评价体系，功能属性得分1.3359、区位属性0.2814、交通属性0.3417、地下属性0.5716，四项维度共同指向一个核心判断：联通必要性不应取决于现有客流，而应取决于客流潜力释放条件与服务对象可达性改善。地块周边1公里范围内分布有人大附中苏州学校、仁恒华发雅苑（在建）、月上海棠轩（在建）及润云华庭等教育设施与居住社区，其中在建项目竣工后将形成稳定的通勤与就学客流；玉皇宫等文化设施则带来间歇性活动客流。这些人群对轨道接驳的需求具有时段集中、风雨敏感、携带物品多等特征，地面步行条件难以满足。更为关键的是，邻里中心作为"15分钟社区生活圈"的核心载体，其服务半径覆盖周边多个居住组团，若轨道站点与邻里中心之间缺乏高效衔接，将直接削弱TOD开发对社区服务能级的提升作用。参照苏州轨道交通4号线清树湾站青年公寓地块经验，该站同样面临居住社区与轨道站点的接驳需求，最终采用风雨连廊作为过渡方案，但运营反馈显示极端天气下使用率显著下降，且未能有效激活社区商业。金家堰项目因具备地下空间条件，有条件避免这一路径依赖，直接实现更高层级的站城融合。</w:t>
      </w:r>
    </w:p>
    <w:p>
      <w:pPr>
        <w:pStyle w:val="Heading1"/>
      </w:pPr>
      <w:r>
        <w:t>3. 方案比选：地下主通道的不可替代性与备选路径的适用边界</w:t>
      </w:r>
    </w:p>
    <w:p>
      <w:r>
        <w:t>本次比选涵盖地下主通道、地下次通道、风雨连廊三类方案，评估维度包括场景适配性、建设成本、实施难度及与标杆经验的契合度。地下主通道方案以车站3号口站厅非付费区预留接口为起点，穿越金堰路下方，终点衔接地块地下一层公共中庭，路径长度控制在80-120米，净宽不小于5米、净高不小于3米，具备全天候通行、无障碍连续、客流双向引流、空间品质可控等核心优势。该方案与地下联通商业公服标杆的专项观察维度高度吻合：地下公共空间完整性、商业公服服务对象覆盖、接口竖向匹配度、全天候接驳可靠性、运营分界清晰性均能得到满足。建设成本评级为"中"，实施难度评级为"中"，但适配性评级为最高五星，因其一次性解决长期运营需求，全生命周期成本效益最优。地下次通道方案净宽降至4米、净高2.5米，仅满足基础通行功能，无法承载邻里中心高峰时段的集散需求，且与商业、休憩功能的复合利用存在空间冲突，适配性评级三星，仅建议作为接口条件受限时的降级方案。风雨连廊方案沿金堰路东侧人行道设置，净宽4米、长度约100米，建设成本低、审批流程简单、施工周期短，但受苏州梅雨季节与夏季高温影响，实际舒适度与使用率存在季节性波动，且地面空间需协调市政管线、行道树、消防通道等多重约束，适配性评级三星半，建议作为地下方案实施前的过渡措施或远期预留条件。综合判断，地下主通道是唯一能够同时满足公共服务品质、站城融合深度和长期运营弹性的方案，应作为优先推进方向。</w:t>
      </w:r>
    </w:p>
    <w:p>
      <w:pPr>
        <w:pStyle w:val="Heading1"/>
      </w:pPr>
      <w:r>
        <w:t>4. 推荐方案设计：空间组织、功能复合与接口控制要点</w:t>
      </w:r>
    </w:p>
    <w:p>
      <w:r>
        <w:t>推荐地下主通道方案的空间组织应遵循"短直、通透、复合、弹性"四项原则。起点定位于金家堰站3号口站厅层非付费区预留接口，该接口现阶段已向规划部门提交初步连通方案，正在对接中；终点衔接地块地下一层公共中庭，该中庭应作为邻里中心的核心空间节点，整合垂直交通、商业服务、社区活动和停车转换功能。通道平面宜采用单向组织或双向分流的直线型布局，避免曲折迂回导致导向混乱；纵断面应控制坡度不大于1:12，满足无障碍通行要求，同时预留排水沟槽与结构变形缝位置。空间尺度方面，参照本地设计细则，联通主通道净宽不宜小于5米、净高不宜小于3米；因邻里中心兼具商业与休憩功能，建议净宽按6-8米控制、净高按3.5-4米控制，为两侧商业植入、座椅设置和艺术展示预留条件，但须确保通行净宽不小于5米的底线要求。功能复合方面，通道不应仅为"过路空间"，而应与邻里中心的公共服务功能深度融合：靠近车站端可设置便利店、早餐点等即时消费业态，靠近地块端可衔接社区服务大厅、养老托幼设施，中段可结合采光天窗或下沉广场设置休憩节点，形成"通行-停留-消费-服务"的连续体验。接口控制是方案落地的关键：车站端须明确接口处的防火分区划分、防烟分区设置、结构防水等级和监控安防覆盖范围；地块端须复核地下室顶板覆土厚度、主体结构预留条件、设备用房避让关系和垂直电梯/扶梯的接驳效率。两侧接口的标高差应控制在±300毫米以内，超出此范围须设置坡道或台阶并同步解决排水问题。</w:t>
      </w:r>
    </w:p>
    <w:p>
      <w:pPr>
        <w:pStyle w:val="Heading1"/>
      </w:pPr>
      <w:r>
        <w:t>5. 规范依据与技术控制：从底线合规到品质提升的层级要求</w:t>
      </w:r>
    </w:p>
    <w:p>
      <w:r>
        <w:t>本方案设计须同时满足国家规范强制性要求与本地设计导则的引导性要求，形成"底线-提升-示范"的三级控制体系。底线合规层面，现行《地铁设计规范》对地下联通通道的防火分区、疏散距离、防排烟系统、应急照明和消防给水有明确规定，通道作为车站与地块的连通部分，其防火设计应与车站统一考虑，当通道长度超过60米或穿越防火分区时，须设置自动灭火系统和机械排烟设施；《建筑设计防火规范》要求地下公共活动场所的疏散门应向疏散方向开启，通道内不得设置影响疏散的障碍物；《无障碍设计规范》要求通道坡度不大于1:12，宽度满足轮椅通行与避让，设置盲道和触觉引导设施。本地设计导则层面，《苏州市轨道交通站城融合设计导则》从城市设计角度提出功能、交通、空间一体化的总体引导，强调联通空间应以无障碍为出发点、保持视线通透、设置导向标识设施；《苏州轨道交通站点周边地下公共联通空间设计细则》进一步明确：联通主通道净宽不宜小于5米、净高不宜小于3米，兼有商业设施时应结合单侧或双侧布置提高净宽，兼有休憩功能时净高宜提高；普通通道净宽不宜小于4米、净高不宜小于2.5米，兼有休憩功能时净宽不宜小于4.5米、净高不宜小于3米。品质提升层面，建议参照上海静安寺站、深圳福田站等地下联通商业公服标杆案例，在通道内引入自然采光、新风系统、智慧导向和艺术装置，将功能性通道转化为城市公共空间网络的组成部分。需要特别说明的是，现阶段可复核资料显示本地设计细则对消防通道与救援要求有专门条款，地面风雨连廊若作为备选方案，须结合场地消防组织满足相应要求，但地下方案因位于道路下方，消防组织相对独立，与地上道路系统干扰较小。</w:t>
      </w:r>
    </w:p>
    <w:p>
      <w:pPr>
        <w:pStyle w:val="Heading1"/>
      </w:pPr>
      <w:r>
        <w:t>6. 实施风险与运营边界：资料补齐、工程协同与管理界面</w:t>
      </w:r>
    </w:p>
    <w:p>
      <w:r>
        <w:t>本项目推进过程中存在三类中等级别风险，须在方案深化阶段专项应对。资料缺项风险方面，当前地块控制性详细规划图则、规划条件及概念设计方案已纳入评估，但正式施工图设计、车站接口专项设计、管线综合规划和地下空间权属划分资料尚未完全齐备，推荐方案的具体线位、断面和节点设计需随资料补齐动态复核，若接口标高、结构形式或防水等级出现重大调整，可能触发方案变更。工程接口风险方面，通道穿越金堰路下方，涉及道路红线、地下管线、地铁保护区和地块地下室的多重空间交叉，须协调轨道公司、市政部门、地块开发主体和管线单位建立联合工作机制，重点复核接口处的结构变形缝设置、防水节点做法、沉降控制措施和施工时序安排，避免因工程界面不清导致工期延误或质量隐患。运营协同风险方面，通道作为车站非付费区与地块地下空间的连接体，其开放时段、管理边界、安防责任、维护标准和突发事件联动机制须在方案阶段同步明确，参照同类项目经验，建议采用"轨道主导、属地协同、商业参与"的运营模式：轨道公司负责通道本体及车站接口段的设施维护与安全管理，属地街道负责通道作为公共空间的秩序维护与活动管理，地块运营方负责与邻里中心功能衔接区的商业运营与便民服务。若运营边界无法清晰划分，可能导致通道开放后管理真空或责任推诿，显著降低使用体验。此外，建设时序协同是另一关键变量：地块地下空间与车站接口宜同步设计、分步实施，地块地下室主体结构施工时应预留接口处的钢筋接驳、防水卷材延伸和套管预埋条件，避免因建设时序错位造成后期凿除重建。</w:t>
      </w:r>
    </w:p>
    <w:p>
      <w:pPr>
        <w:pStyle w:val="Heading1"/>
      </w:pPr>
      <w:r>
        <w:t>7. 下一步工作建议：从方案锁定到实施落地的行动清单</w:t>
      </w:r>
    </w:p>
    <w:p>
      <w:r>
        <w:t>基于上述分析，本报告提出分阶段行动建议。近期（1-3个月）优先完成四项关键条件复核：一是向规划部门调取地块正式规划条件与图则，核实容积率、建筑密度、地下空间开发深度等指标与当前资料的匹配性；二是协调轨道公司获取车站3号口接口专项设计图纸，精确核定接口标高、结构形式、防水等级和防火分区边界；三是组织地块开发主体、轨道公司、市政部门和消防单位召开接口协调会，明确建设时序、投资分担、运营边界和资料移交清单；四是开展现场踏勘与管线探测，复核通道穿越路径的地下障碍物分布与施工可行性。中期（3-6个月）推进方案深化与专项论证：完成地下主通道工程可行性研究，纳入地块整体设计方案报审；同步开展消防专项论证、人防兼容审查、无障碍专项设计和智慧导向系统规划；若接口条件出现重大偏差，启动地下次通道或风雨连廊备选方案的比选优化。远期（6-12个月）落实建设与运营准备：将通道工程纳入地块施工总承包或单独招标，明确与车站接口段的施工界面与质量责任；建立运营阶段的管理制度、应急预案和设施维护标准；结合邻里中心开业筹备，开展通道导向标识、商业布局和公共艺术的整体策划。若项目暂不具备一次实施条件，应在地块地下室结构施工中预留接口处的钢筋接驳、防水延伸、套管预埋和地面衔接条件，避免后期改造成本过高或实施不可行。参照苏州地铁运营站点出入口联通接口情况梳理统计表的动态更新机制，建议本项目建立季度跟踪制度，及时反馈现场地块建设进度和地下通道建设进度，确保方案与实施的持续匹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