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金家堰邻里中心</w:t>
      </w:r>
    </w:p>
    <w:p>
      <w:r>
        <w:t>地块编号：6-JJY-2026-001</w:t>
      </w:r>
    </w:p>
    <w:p>
      <w:r>
        <w:t>综合评分（百分制）：62.03分</w:t>
      </w:r>
    </w:p>
    <w:p>
      <w:r>
        <w:t>原始加权分：2.5306 / 4.0795</w:t>
      </w:r>
    </w:p>
    <w:p>
      <w:r>
        <w:t>联通等级：尽连地块</w:t>
      </w:r>
    </w:p>
    <w:p>
      <w:r>
        <w:t>推荐方式：地下主通道</w:t>
      </w:r>
    </w:p>
    <w:p>
      <w:r>
        <w:t>数据完整度：6/6</w:t>
      </w:r>
    </w:p>
    <w:p>
      <w:pPr>
        <w:pStyle w:val="Heading1"/>
      </w:pPr>
      <w:r>
        <w:t>推荐方案与备选方案</w:t>
      </w:r>
    </w:p>
    <w:tbl>
      <w:tblPr>
        <w:tblW w:type="auto" w:w="0"/>
        <w:tblLook w:firstColumn="1" w:firstRow="1" w:lastColumn="0" w:lastRow="0" w:noHBand="0" w:noVBand="1" w:val="04A0"/>
      </w:tblPr>
      <w:tblGrid>
        <w:gridCol w:w="2160"/>
        <w:gridCol w:w="2160"/>
        <w:gridCol w:w="2160"/>
        <w:gridCol w:w="2160"/>
      </w:tblGrid>
      <w:tr>
        <w:tc>
          <w:tcPr>
            <w:tcW w:type="dxa" w:w="2160"/>
          </w:tcPr>
          <w:p>
            <w:r>
              <w:t>类型</w:t>
            </w:r>
          </w:p>
        </w:tc>
        <w:tc>
          <w:tcPr>
            <w:tcW w:type="dxa" w:w="2160"/>
          </w:tcPr>
          <w:p>
            <w:r>
              <w:t>名称</w:t>
            </w:r>
          </w:p>
        </w:tc>
        <w:tc>
          <w:tcPr>
            <w:tcW w:type="dxa" w:w="2160"/>
          </w:tcPr>
          <w:p>
            <w:r>
              <w:t>类别</w:t>
            </w:r>
          </w:p>
        </w:tc>
        <w:tc>
          <w:tcPr>
            <w:tcW w:type="dxa" w:w="2160"/>
          </w:tcPr>
          <w:p>
            <w:r>
              <w:t>核心适用场景</w:t>
            </w:r>
          </w:p>
        </w:tc>
      </w:tr>
      <w:tr>
        <w:tc>
          <w:tcPr>
            <w:tcW w:type="dxa" w:w="2160"/>
          </w:tcPr>
          <w:p>
            <w:r>
              <w:t>推荐</w:t>
            </w:r>
          </w:p>
        </w:tc>
        <w:tc>
          <w:tcPr>
            <w:tcW w:type="dxa" w:w="2160"/>
          </w:tcPr>
          <w:p>
            <w:r>
              <w:t>地下主通道</w:t>
            </w:r>
          </w:p>
        </w:tc>
        <w:tc>
          <w:tcPr>
            <w:tcW w:type="dxa" w:w="2160"/>
          </w:tcPr>
          <w:p>
            <w:r>
              <w:t>地下联通</w:t>
            </w:r>
          </w:p>
        </w:tc>
        <w:tc>
          <w:tcPr>
            <w:tcW w:type="dxa" w:w="2160"/>
          </w:tcPr>
          <w:p>
            <w:r>
              <w:t>必连地块、尽连地块、商业公服、交通枢纽、地下公共空间</w:t>
            </w:r>
          </w:p>
        </w:tc>
      </w:tr>
      <w:tr>
        <w:tc>
          <w:tcPr>
            <w:tcW w:type="dxa" w:w="2160"/>
          </w:tcPr>
          <w:p>
            <w:r>
              <w:t>备选</w:t>
            </w:r>
          </w:p>
        </w:tc>
        <w:tc>
          <w:tcPr>
            <w:tcW w:type="dxa" w:w="2160"/>
          </w:tcPr>
          <w:p>
            <w:r>
              <w:t>地下次通道</w:t>
            </w:r>
          </w:p>
        </w:tc>
        <w:tc>
          <w:tcPr>
            <w:tcW w:type="dxa" w:w="2160"/>
          </w:tcPr>
          <w:p>
            <w:r>
              <w:t>地下联通</w:t>
            </w:r>
          </w:p>
        </w:tc>
        <w:tc>
          <w:tcPr>
            <w:tcW w:type="dxa" w:w="2160"/>
          </w:tcPr>
          <w:p>
            <w:r>
              <w:t>尽连地块、可连地块、停车接驳、接口预留</w:t>
            </w:r>
          </w:p>
        </w:tc>
      </w:tr>
      <w:tr>
        <w:tc>
          <w:tcPr>
            <w:tcW w:type="dxa" w:w="2160"/>
          </w:tcPr>
          <w:p>
            <w:r>
              <w:t>备选</w:t>
            </w:r>
          </w:p>
        </w:tc>
        <w:tc>
          <w:tcPr>
            <w:tcW w:type="dxa" w:w="2160"/>
          </w:tcPr>
          <w:p>
            <w:r>
              <w:t>风雨连廊</w:t>
            </w:r>
          </w:p>
        </w:tc>
        <w:tc>
          <w:tcPr>
            <w:tcW w:type="dxa" w:w="2160"/>
          </w:tcPr>
          <w:p>
            <w:r>
              <w:t>地面联通</w:t>
            </w:r>
          </w:p>
        </w:tc>
        <w:tc>
          <w:tcPr>
            <w:tcW w:type="dxa" w:w="2160"/>
          </w:tcPr>
          <w:p>
            <w:r>
              <w:t>居住类、学校医院、青年公寓、社区公服、无地下公共空间</w:t>
            </w:r>
          </w:p>
        </w:tc>
      </w:tr>
    </w:tbl>
    <w:p>
      <w:pPr>
        <w:pStyle w:val="Heading1"/>
      </w:pPr>
      <w:r>
        <w:t>1. 核心结论：建议实施地下主通道联通，但须先锁定三项前置条件</w:t>
      </w:r>
    </w:p>
    <w:p>
      <w:r>
        <w:t>本项目综合评分62.03分，判定为"尽连地块"，政策导向明确要求"应尽量联通"。基于地块公共属性强、地下空间条件成熟、站点接口已预留等事实，本次明确推荐采用地下主通道作为主力联通方式，而非地面风雨连廊或简易步行优化。核心判断依据在于：金家堰站3号口站厅非付费区已预留远期接驳接口，且接口竖向标高与地块地下空间匹配，这为地下主通道提供了工程可行性基础；同时，9万平方米的综合性社区邻里中心业态决定了其需要全天候、无障碍、大容量的客流集散能力，地下主通道最能满足这一功能需求。但必须前置复核三项条件：一是地块正式规划条件中地下空间开放属性与公共通道功能是否一致，二是车站接口处的防火分区、防水节点和结构荷载是否支持直接贯通，三是权属边界、投资分担和运营维护责任是否已有明确主体。若上述任一条件不具备，应退守至地下次通道或风雨连廊方案，并同步预留远期升级接口。</w:t>
      </w:r>
    </w:p>
    <w:p>
      <w:pPr>
        <w:pStyle w:val="Heading1"/>
      </w:pPr>
      <w:r>
        <w:t>2. 必要性研判：从"客流小"到"服务稳"的逻辑转换</w:t>
      </w:r>
    </w:p>
    <w:p>
      <w:r>
        <w:t>金家堰站日均进站仅686人次，表面看客流规模有限，但参照地下联通商业公服标杆的经验，此类邻里中心项目的联通必要性不能仅以现状客流衡量。原因在于：第一，服务对象具有高度确定性，人大附中苏州学校师生、仁恒华发雅苑与月上海棠轩在建住宅居民、玉皇宫文化设施访客构成稳定且可预期的客流来源，轨道接驳需求将随入住率和学校运营而快速释放；第二，功能属性得分1.3359为四维评分中最高，反映出综合性社区邻里中心作为公共服务节点的不可替代性，其全天候开放、无障碍通行的刚性需求远高于一般商业地块；第三，地下属性得分0.5716表明地块地下空间具备承载公共联通的物理条件，若不加以利用，将造成站城空间资源的闲置浪费。因此，当前"客流小"是时序问题而非需求问题，提前布局地下主通道是匹配公共服务属性、锁定工程接口、避免远期拆改的理性选择。若待客流成熟后再补建，将面临车站运营期间施工受限、接口改造代价高昂、消防验收难度加大等困境。</w:t>
      </w:r>
    </w:p>
    <w:p>
      <w:pPr>
        <w:pStyle w:val="Heading1"/>
      </w:pPr>
      <w:r>
        <w:t>3. 方案比选：地下主通道为何优于风雨连廊与地下次通道</w:t>
      </w:r>
    </w:p>
    <w:p>
      <w:r>
        <w:t>本次比选涵盖三类联通方式，最终锁定地下主通道基于多维比较。地下主通道的核心优势在于：可直接衔接车站站厅非付费区与地块地下一层公共中庭，实现全天候无缝接驳，完美匹配邻里中心商业、公服业态的客流引流需求，与地块地下空间高度契合。其空间尺度可按本地设计细则控制——联通主通道净宽不宜小于5米、净高不宜小于3米，兼有商业设施时结合单侧或双侧布置提高净宽，兼有休憩功能时净高宜提高至3.5米以上，这为未来商业植入和功能复合预留了弹性。风雨连廊方案虽建设成本低、审批流程简单、施工周期短，但存在明显短板：金堰路东侧人行道宽度、城市风貌管控要求、地面消防通道组织等条件尚未复核，且无法实现与地下停车、地下商业的直接贯通，客流需多次转换高程，体验连续性不足。地下次通道方案仅满足基础通行功能，净宽4米、净高2.5米的控制标准无法匹配大型邻里中心的大客流集散需求，空间尺度与业态适配性明显不足。因此，地下主通道是功能适配性与工程可行性的最优平衡，风雨连廊和地下次通道仅作为前置条件不具备时的退守方案。</w:t>
      </w:r>
    </w:p>
    <w:p>
      <w:pPr>
        <w:pStyle w:val="Heading1"/>
      </w:pPr>
      <w:r>
        <w:t>4. 推荐方案设计：从3号口接口到地下公共中庭的完整路径</w:t>
      </w:r>
    </w:p>
    <w:p>
      <w:r>
        <w:t>推荐方案以金家堰站3号口站厅层非付费区预留接口为起点，以金家堰邻里中心地块地下一层公共中庭为终点，路径沿金堰路东侧地下空间短直组织，总长度控制在合理范围内，避免迂回。通道功能定位为通行兼集散复合，净宽按5米控制，净高按3米基准、3.5米优选控制，满足双向高峰人流、轮椅回转、临时停留和导向设施布置的多重需求。竖向组织上，利用车站与地块地下空间的标高匹配条件，优先实现平层衔接或最小高差转换，减少无障碍坡道长度和能耗损失。平面节点上，在接口处设置必要的集散缓冲空间，避免车站出站客流与地块内部流线直接对冲；在地块端部衔接垂直交通核和停车库出入口，实现轨道客流、地面人流、停车人流的三向便捷转换。参照本地设计指引，联通空间应以无障碍为出发点，保持视线通透，并设置导向标识设施；同时结合场地消防组织，满足消防通道与救援相关要求，防火分区划分、防烟分区设置、疏散距离控制均需同步深化。</w:t>
      </w:r>
    </w:p>
    <w:p>
      <w:pPr>
        <w:pStyle w:val="Heading1"/>
      </w:pPr>
      <w:r>
        <w:t>5. 规范与技术控制：从通用要求到本地细则的层级落实</w:t>
      </w:r>
    </w:p>
    <w:p>
      <w:r>
        <w:t>方案深化需建立三层合规框架。第一层为国家通用规范，包括现行建筑防火规范对地下公共建筑防火分区面积、疏散距离、防烟楼梯间设置的要求，无障碍设计规范对轮椅通行净宽、坡道坡度、盲道连续性的要求，以及地铁设计规范对车站接口结构安全、防水等级、振动控制的要求。第二层为苏州市级站城融合导则，从城市设计层面提出功能、交通、空间一体化的总体引导，强调轨道站点与周边地块的开放界面连续性。第三层为本地设计细则，这是本项目最直接的技术依据：联通主通道净宽不宜小于5米、净高不宜小于3米；兼有商业设施时结合布置提高净宽，兼有休憩功能时净高宜提高；普通通道净宽不宜小于4米、净高不宜小于2.5米，兼有休憩功能时净宽不宜小于4.5米、净高不宜小于3米。此外，地面风雨连廊若作为备选方案，应结合场地消防组织，满足消防通道与救援相关要求。所有控制指标不得以空间装饰、商业植入或管理便利为由削弱，需在方案阶段即与消防、人防、地铁运营等单位建立联合审查机制。</w:t>
      </w:r>
    </w:p>
    <w:p>
      <w:pPr>
        <w:pStyle w:val="Heading1"/>
      </w:pPr>
      <w:r>
        <w:t>6. 风险识别与实施建议：资料补齐、工程接口与运营边界</w:t>
      </w:r>
    </w:p>
    <w:p>
      <w:r>
        <w:t>本项目当前存在三类中等级别风险，需在后续阶段专项应对。资料缺项风险方面，现阶段可复核资料显示地块控制性详细规划图则、规划条件和概念设计方案已具备，但正式用地性质、建筑规模、地下空间开放属性的最终批复版本，以及车站接口的详细结构图纸、防水节点大样、防火分区划分等工程资料仍需补齐，推荐方案需随资料更新复核。工程接口风险方面，接口标高、结构形式、防水做法、管线迁改和施工时序是决定地下主通道能否落地的关键，建议尽快组织地铁建设方、地块开发主体、设计单位开展联合踏勘和接口专题会，锁定竖向关系、结构衔接方式和施工界面划分。运营协同风险方面，开放时段、管理边界、安防责任、维护分工和突发事件联动机制需在方案深化阶段同步明确，参照同类项目经验，建议采用"通道归地块、接口归地铁、消防各自负责、应急统一联动"的分界模式，并在产权划分、投资分担协议中予以固化。若上述风险无法按期化解，应启动退守方案：优先保留地下次通道可行性，其次考虑风雨连廊，但均须同步预留远期升级至地下主通道的结构条件和接口位置，避免远期改造成本失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