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金家堰邻里中心</w:t>
      </w:r>
    </w:p>
    <w:p>
      <w:r>
        <w:t>地块编号：6-JJY-2026-001</w:t>
      </w:r>
    </w:p>
    <w:p>
      <w:r>
        <w:t>综合评分（百分制）：62.03分</w:t>
      </w:r>
    </w:p>
    <w:p>
      <w:r>
        <w:t>原始加权分：2.5306 / 4.0795</w:t>
      </w:r>
    </w:p>
    <w:p>
      <w:r>
        <w:t>联通等级：尽连地块</w:t>
      </w:r>
    </w:p>
    <w:p>
      <w:r>
        <w:t>推荐方式：地下主通道</w:t>
      </w:r>
    </w:p>
    <w:p>
      <w:r>
        <w:t>数据完整度：6/6</w:t>
      </w:r>
    </w:p>
    <w:p>
      <w:pPr>
        <w:pStyle w:val="Heading1"/>
      </w:pPr>
      <w:r>
        <w:t>推荐方案与备选方案</w:t>
      </w:r>
    </w:p>
    <w:tbl>
      <w:tblPr>
        <w:tblW w:type="auto" w:w="0"/>
        <w:tblLook w:firstColumn="1" w:firstRow="1" w:lastColumn="0" w:lastRow="0" w:noHBand="0" w:noVBand="1" w:val="04A0"/>
      </w:tblPr>
      <w:tblGrid>
        <w:gridCol w:w="2160"/>
        <w:gridCol w:w="2160"/>
        <w:gridCol w:w="2160"/>
        <w:gridCol w:w="2160"/>
      </w:tblGrid>
      <w:tr>
        <w:tc>
          <w:tcPr>
            <w:tcW w:type="dxa" w:w="2160"/>
          </w:tcPr>
          <w:p>
            <w:r>
              <w:t>类型</w:t>
            </w:r>
          </w:p>
        </w:tc>
        <w:tc>
          <w:tcPr>
            <w:tcW w:type="dxa" w:w="2160"/>
          </w:tcPr>
          <w:p>
            <w:r>
              <w:t>名称</w:t>
            </w:r>
          </w:p>
        </w:tc>
        <w:tc>
          <w:tcPr>
            <w:tcW w:type="dxa" w:w="2160"/>
          </w:tcPr>
          <w:p>
            <w:r>
              <w:t>类别</w:t>
            </w:r>
          </w:p>
        </w:tc>
        <w:tc>
          <w:tcPr>
            <w:tcW w:type="dxa" w:w="2160"/>
          </w:tcPr>
          <w:p>
            <w:r>
              <w:t>核心适用场景</w:t>
            </w:r>
          </w:p>
        </w:tc>
      </w:tr>
      <w:tr>
        <w:tc>
          <w:tcPr>
            <w:tcW w:type="dxa" w:w="2160"/>
          </w:tcPr>
          <w:p>
            <w:r>
              <w:t>推荐</w:t>
            </w:r>
          </w:p>
        </w:tc>
        <w:tc>
          <w:tcPr>
            <w:tcW w:type="dxa" w:w="2160"/>
          </w:tcPr>
          <w:p>
            <w:r>
              <w:t>地下主通道</w:t>
            </w:r>
          </w:p>
        </w:tc>
        <w:tc>
          <w:tcPr>
            <w:tcW w:type="dxa" w:w="2160"/>
          </w:tcPr>
          <w:p>
            <w:r>
              <w:t>地下联通</w:t>
            </w:r>
          </w:p>
        </w:tc>
        <w:tc>
          <w:tcPr>
            <w:tcW w:type="dxa" w:w="2160"/>
          </w:tcPr>
          <w:p>
            <w:r>
              <w:t>必连地块、尽连地块、商业公服、交通枢纽、地下公共空间</w:t>
            </w:r>
          </w:p>
        </w:tc>
      </w:tr>
      <w:tr>
        <w:tc>
          <w:tcPr>
            <w:tcW w:type="dxa" w:w="2160"/>
          </w:tcPr>
          <w:p>
            <w:r>
              <w:t>备选</w:t>
            </w:r>
          </w:p>
        </w:tc>
        <w:tc>
          <w:tcPr>
            <w:tcW w:type="dxa" w:w="2160"/>
          </w:tcPr>
          <w:p>
            <w:r>
              <w:t>地下次通道</w:t>
            </w:r>
          </w:p>
        </w:tc>
        <w:tc>
          <w:tcPr>
            <w:tcW w:type="dxa" w:w="2160"/>
          </w:tcPr>
          <w:p>
            <w:r>
              <w:t>地下联通</w:t>
            </w:r>
          </w:p>
        </w:tc>
        <w:tc>
          <w:tcPr>
            <w:tcW w:type="dxa" w:w="2160"/>
          </w:tcPr>
          <w:p>
            <w:r>
              <w:t>尽连地块、可连地块、停车接驳、接口预留</w:t>
            </w:r>
          </w:p>
        </w:tc>
      </w:tr>
      <w:tr>
        <w:tc>
          <w:tcPr>
            <w:tcW w:type="dxa" w:w="2160"/>
          </w:tcPr>
          <w:p>
            <w:r>
              <w:t>备选</w:t>
            </w:r>
          </w:p>
        </w:tc>
        <w:tc>
          <w:tcPr>
            <w:tcW w:type="dxa" w:w="2160"/>
          </w:tcPr>
          <w:p>
            <w:r>
              <w:t>风雨连廊</w:t>
            </w:r>
          </w:p>
        </w:tc>
        <w:tc>
          <w:tcPr>
            <w:tcW w:type="dxa" w:w="2160"/>
          </w:tcPr>
          <w:p>
            <w:r>
              <w:t>地面联通</w:t>
            </w:r>
          </w:p>
        </w:tc>
        <w:tc>
          <w:tcPr>
            <w:tcW w:type="dxa" w:w="2160"/>
          </w:tcPr>
          <w:p>
            <w:r>
              <w:t>居住类、学校医院、青年公寓、社区公服、无地下公共空间</w:t>
            </w:r>
          </w:p>
        </w:tc>
      </w:tr>
    </w:tbl>
    <w:p>
      <w:pPr>
        <w:pStyle w:val="Heading1"/>
      </w:pPr>
      <w:r>
        <w:t>1. 核心结论：建议实施地下主通道联通，优先锁定接口条件与建设协同</w:t>
      </w:r>
    </w:p>
    <w:p>
      <w:r>
        <w:t>本项目综合评分62.03分，判定为"尽连地块"，政策导向为"必要性次之，应尽量联通；优先推动接口条件、建设协同和方案比选"。基于这一等级定位，结合地块公共属性、地下空间条件和站点接口预留状态，明确建议采用地下主通道作为首选联通方式。这一判断的核心逻辑在于：金家堰邻里中心作为综合性社区邻里中心，承担着公共服务、商业配套和区域客流集散的多重复合功能，与轨道交通6号线金家堰站3号口的接驳需求具有全天候、无障碍、双向引流的刚性特征；同时，车站站厅非付费区已预留远期接驳接口，且接口位置与地块地下空间竖向标高匹配，为地下主通道的实施提供了关键的工程可行性基础。因此，本项目值得做、可以做，但必须先复核三项前置条件：一是地块正式规划指标与当前录入资料的一致性，二是车站接口的消防分区、防水节点和结构衔接细节，三是权属边界、投资分担和运营管理责任的明确主体。若上述条件在后续深化阶段得到确认，地下主通道将成为站城融合的最佳载体；若接口条件发生重大变化，则需启动风雨连廊作为过渡方案，并同步预留远期地下连通条件。</w:t>
      </w:r>
    </w:p>
    <w:p>
      <w:pPr>
        <w:pStyle w:val="Heading1"/>
      </w:pPr>
      <w:r>
        <w:t>2. 必要性研判：从功能属性到地下空间条件的四维支撑</w:t>
      </w:r>
    </w:p>
    <w:p>
      <w:r>
        <w:t>本项目联通必要性的判定并非依赖单一客流指标，而是基于功能属性、区位属性、交通属性和地下属性四个维度的综合评分。功能属性得分1.3359，源于地块"综合性社区邻里中心"的定位——这一业态决定了其服务对象涵盖周边居住人口、学校师生、商业消费者和公共服务使用者，具有多时段、多目的、全龄化的客流特征，对风雨无阻、无障碍连续的接驳环境存在刚性需求。区位属性得分0.2814，反映地块位于金家堰站东北象限200m核心开发区，属于组团级TOD的社区服务圈层，站点与地块的空间关系紧密，步行接驳是主导交通方式。交通属性得分0.3417，基于日均进站686人次的客流规模和4个出入口的设施供给，判断站点具备承载邻里中心引流客流的潜力，且3号口与地块主入口的方位关系有利于组织高效步行流线。地下属性得分0.5716，是四个维度中的最高得分，直接支撑地下主通道的推荐——地块地下2层空间包含停车、设备用房及公共服务/商业配套空间，与车站预留接口形成竖向匹配，为全天候、无障碍的地下联通创造了空间载体。参照苏州轨道交通站城融合设计导则的层级指引，社区级站点与公共商业地块的联通应优先保障慢行系统的连续性和公共空间的开放性，本项目在四个维度均呈现正向支撑，故判定为"应尽量联通"。</w:t>
      </w:r>
    </w:p>
    <w:p>
      <w:pPr>
        <w:pStyle w:val="Heading1"/>
      </w:pPr>
      <w:r>
        <w:t>3. 方案比选：地下主通道的适配性与备选路径</w:t>
      </w:r>
    </w:p>
    <w:p>
      <w:r>
        <w:t>针对本项目的场景特征，比选三种联通方式的技术经济特性。地下主通道的适配性最高：可直接衔接车站站厅非付费区与地块地下一层公共中庭，实现全天候无缝接驳，完美匹配邻里中心商业、公服业态的客流引流需求，与地块地下空间高度契合，符合尽连地块的优先连通要求；建设成本中等，实施难度中等，但工程接口条件已具备基础。地下次通道作为降级备选：仅满足基础通行功能，无法匹配大型邻里中心的大客流集散需求，空间尺度与业态适配性不足，适用于接口条件受限或投资规模压缩的过渡场景。风雨连廊作为地面备选：以车站3号出入口集散广场为起点，沿金堰路东侧人行道设置封闭式连廊，终点衔接地块西侧主出入口，总长度控制在100m以内，净宽不小于4m，配套无障碍设计、休憩设施与导向标识；该方案建设成本低、审批流程简单、施工周期短，可实现全天候步行接驳，但受地面空间、城市风貌和消防通道组织的约束较大，且无法解决地下停车与轨道的直接衔接需求。综合比较，地下主通道在功能复合性、空间效率、客流组织和站城融合深度上均优于其他方案，故列为推荐；若后续工程复核发现接口标高冲突、消防分区无法调整或投资分担无法达成一致，则启动风雨连廊方案，并在地面连廊设计中预留远期地下连通的结构接口和竖向条件。</w:t>
      </w:r>
    </w:p>
    <w:p>
      <w:pPr>
        <w:pStyle w:val="Heading1"/>
      </w:pPr>
      <w:r>
        <w:t>4. 推荐方案设计：起点、路径、终点与功能组织</w:t>
      </w:r>
    </w:p>
    <w:p>
      <w:r>
        <w:t>地下主通道的设计起点为金家堰站3号口站厅层非付费区预留接口，该接口已向规划部门提交初步连通方案，目前处于对接阶段，需重点复核其精确位置、结构边界、防水等级和防火分隔方式。通道路径宜短直组织，优先沿金堰路下方或地块红线内布置，避免迂回绕行，路径长度宜控制在80m以内，确保步行时间不超过1.5分钟。终点为金家堰邻里中心地下一层公共中庭或下沉广场，该空间应作为客流集散节点，衔接垂直电梯、扶梯和楼梯，实现与地下二层停车、地面一层商业和二层以上公服空间的垂直转换。通道功能定位为通行兼集散复合功能，净宽不宜小于5m，净高不宜小于3m；若结合商业设施单侧或双侧布置，净宽应适当提高；若兼有休憩功能，净高宜提高至3.5m以上。参照本地设计细则的控制要求，联通空间应以无障碍为出发点，保持视线通透，并设置导向标识设施。接口处的竖向标高匹配是工程落地的关键：现阶段可复核资料显示车站预留接口与地块地下一层标高基本一致，但需在施工图阶段精确核对结构板顶标高、建筑完成面标高和排水找坡方向，确保无高差障碍或积水风险。</w:t>
      </w:r>
    </w:p>
    <w:p>
      <w:pPr>
        <w:pStyle w:val="Heading1"/>
      </w:pPr>
      <w:r>
        <w:t>5. 规范控制与技术要求：消防、无障碍、导向与运营安全</w:t>
      </w:r>
    </w:p>
    <w:p>
      <w:r>
        <w:t>本方案需满足现行建筑防火、无障碍设计、地铁设计和地下空间开发等国家规范，以及苏州市轨道交通站城融合设计导则、轨道站点出入口周边空间一体化设计指引等地方技术文件的具体要求。消防控制方面，地下主通道作为连接车站与地块地下空间的公共走道，其防火分区划分、防烟分区设置、疏散距离计算和应急照明布置必须与车站消防系统统筹设计；参照现行防火规范，地下公共通道的疏散距离不宜大于60m，若超过此限需增设避难走道或扩大前室。无障碍设计方面，通道全程应满足轮椅通行净宽1.8m、回转直径1.5m的要求，起终点及中途节点应设置盲道衔接、触觉提示和语音导向，坡道坡度不宜大于1:12，每段坡道水平投影超过9m时应设休息平台。导向标识方面，应建立车站、通道、地块三位一体的标识系统，信息层级清晰、色彩区分明确、夜间照明充足，关键节点设置综合信息牌和应急疏散图。运营安全方面，需明确通道的开放时段与车站运营时段的衔接关系，若地块商业运营时间晚于地铁收车，需评估夜间独立开放的可行性和安防措施；同时界定轨道运营单位、地块物业管理和属地街道的维护责任边界，建立突发事件联动机制和定期巡查制度。地面风雨连廊若作为备选方案，应结合场地消防组织，满足消防通道与救援相关要求，连廊柱网不得侵占消防车道净宽，顶部材料应具备一定耐火极限。</w:t>
      </w:r>
    </w:p>
    <w:p>
      <w:pPr>
        <w:pStyle w:val="Heading1"/>
      </w:pPr>
      <w:r>
        <w:t>6. 标杆经验借鉴与本地条件适配</w:t>
      </w:r>
    </w:p>
    <w:p>
      <w:r>
        <w:t>参照地下联通商业公服标杆的专项观察维度，本项目在"地下公共空间""商业公服服务对象""接口竖向""全天候接驳""运营分界"五个维度上具备对标基础。标杆经验表明，成功的地下联通项目普遍具备三个共性：一是接口预留与地块开发时序的高度协同，避免后期改造的高成本和长周期；二是通道空间与商业、公服功能的适度融合，以通行效率为前提植入便民服务设施，提升空间活力；三是运营边界的清晰划分和应急机制的预先约定，减少多头管理导致的响应迟滞。这些经验对本项目的直接启示在于：当前阶段应抓紧锁定车站与地块的接口协议，将联通工程纳入地块建设时序同步实施，而非留待后期补建；通道设计应在满足净宽净高基本要求的前提下，预留商业服务设施的植入条件，如自动售货、信息发布、便民座椅等；运营主体应在方案阶段即明确，建议由轨道运营单位负责通道本体及与车站衔接段的设施维护和安全管理，地块物业负责与地块衔接段的日常保洁和秩序维护，双方建立联合巡查和应急演练机制。需要指出的是，标杆案例中的高客流、高强度开发特征与本项目的社区级定位存在差异，因此在空间尺度、设施配置和投资标准上应适度降级，避免过度设计。</w:t>
      </w:r>
    </w:p>
    <w:p>
      <w:pPr>
        <w:pStyle w:val="Heading1"/>
      </w:pPr>
      <w:r>
        <w:t>7. 风险识别与实施建议：资料补齐、工程接口与运营协同</w:t>
      </w:r>
    </w:p>
    <w:p>
      <w:r>
        <w:t>本项目当前存在三类中等级别风险，需在后续阶段重点管控。资料缺项风险方面，现阶段可复核资料主要来源于地块控制性详细规划图则、规划条件和概念设计方案，以及车站运营单位的接口梳理表，正式施工图、地质勘察报告、管线综合规划和消防专项审查意见尚未纳入；若后续实时规划或现场资料更新，应重点复核地块地下空间的实际开发深度、停车布局与通道路径的冲突关系，以及周边市政管线的迁改难度。工程接口风险方面，车站预留接口的精确位置、结构形式、防水节点和防火分隔方式需在施工图阶段与轨道设计单位深度对接，特别是接口处的沉降缝处理、排水沟衔接和防淹门设置，直接影响联通工程的可实施性和运营安全性；若发现接口标高与地块地下空间存在高差，需评估设置坡道或台阶对无障碍通行的影响，必要时调整通道路径或采用机械提升设施。运营协同风险方面，开放时段、管理边界、安防和维护责任需在方案深化阶段同步明确，建议由建设单位牵头组织轨道运营、地块开发、属地街道和消防部门召开专项协调会，形成书面备忘录或纳入土地出让合同附件，避免后期推诿。实施时序上，建议近期优先完成接口协议签订和资料补齐清单，中期开展工程可行性研究和消防专项论证，远期将联通空间纳入站城一体化运营管理体系；若项目暂不具备一次实施条件，应在地块地下室结构施工中预留接口位置的钢筋接驳器、防水卷材外挑头和标识预埋件，为后期连通创造条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