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富翔路站周边互联互通预评估</w:t>
      </w:r>
    </w:p>
    <w:p>
      <w:r>
        <w:t>地块编号：STATION-富翔路</w:t>
      </w:r>
    </w:p>
    <w:p>
      <w:r>
        <w:t>综合评分（百分制）：29.04分</w:t>
      </w:r>
    </w:p>
    <w:p>
      <w:r>
        <w:t>原始加权分：1.1848 / 4.0795</w:t>
      </w:r>
    </w:p>
    <w:p>
      <w:r>
        <w:t>联通等级：可连地块</w:t>
      </w:r>
    </w:p>
    <w:p>
      <w:r>
        <w:t>推荐方式：风雨连廊</w:t>
      </w:r>
    </w:p>
    <w:p>
      <w:r>
        <w:t>数据完整度：3/6</w:t>
      </w:r>
    </w:p>
    <w:p>
      <w:pPr>
        <w:pStyle w:val="Heading1"/>
      </w:pPr>
      <w:r>
        <w:t>评分明细表</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维度</w:t>
            </w:r>
          </w:p>
        </w:tc>
        <w:tc>
          <w:tcPr>
            <w:tcW w:type="dxa" w:w="1440"/>
          </w:tcPr>
          <w:p>
            <w:r>
              <w:t>因子</w:t>
            </w:r>
          </w:p>
        </w:tc>
        <w:tc>
          <w:tcPr>
            <w:tcW w:type="dxa" w:w="1440"/>
          </w:tcPr>
          <w:p>
            <w:r>
              <w:t>选项</w:t>
            </w:r>
          </w:p>
        </w:tc>
        <w:tc>
          <w:tcPr>
            <w:tcW w:type="dxa" w:w="1440"/>
          </w:tcPr>
          <w:p>
            <w:r>
              <w:t>原始分</w:t>
            </w:r>
          </w:p>
        </w:tc>
        <w:tc>
          <w:tcPr>
            <w:tcW w:type="dxa" w:w="1440"/>
          </w:tcPr>
          <w:p>
            <w:r>
              <w:t>权重</w:t>
            </w:r>
          </w:p>
        </w:tc>
        <w:tc>
          <w:tcPr>
            <w:tcW w:type="dxa" w:w="1440"/>
          </w:tcPr>
          <w:p>
            <w:r>
              <w:t>加权分</w:t>
            </w:r>
          </w:p>
        </w:tc>
      </w:tr>
      <w:tr>
        <w:tc>
          <w:tcPr>
            <w:tcW w:type="dxa" w:w="1440"/>
          </w:tcPr>
          <w:p>
            <w:r>
              <w:t>功能属性</w:t>
            </w:r>
          </w:p>
        </w:tc>
        <w:tc>
          <w:tcPr>
            <w:tcW w:type="dxa" w:w="1440"/>
          </w:tcPr>
          <w:p>
            <w:r>
              <w:t>用地功能</w:t>
            </w:r>
          </w:p>
        </w:tc>
        <w:tc>
          <w:tcPr>
            <w:tcW w:type="dxa" w:w="1440"/>
          </w:tcPr>
          <w:p>
            <w:r>
              <w:t>正式地块资料待补齐，暂按保守 1 分试算</w:t>
            </w:r>
          </w:p>
        </w:tc>
        <w:tc>
          <w:tcPr>
            <w:tcW w:type="dxa" w:w="1440"/>
          </w:tcPr>
          <w:p>
            <w:r>
              <w:t>1</w:t>
            </w:r>
          </w:p>
        </w:tc>
        <w:tc>
          <w:tcPr>
            <w:tcW w:type="dxa" w:w="1440"/>
          </w:tcPr>
          <w:p>
            <w:r>
              <w:t>0.0795</w:t>
            </w:r>
          </w:p>
        </w:tc>
        <w:tc>
          <w:tcPr>
            <w:tcW w:type="dxa" w:w="1440"/>
          </w:tcPr>
          <w:p>
            <w:r>
              <w:t>0.0795</w:t>
            </w:r>
          </w:p>
        </w:tc>
      </w:tr>
      <w:tr>
        <w:tc>
          <w:tcPr>
            <w:tcW w:type="dxa" w:w="1440"/>
          </w:tcPr>
          <w:p>
            <w:r>
              <w:t>功能属性</w:t>
            </w:r>
          </w:p>
        </w:tc>
        <w:tc>
          <w:tcPr>
            <w:tcW w:type="dxa" w:w="1440"/>
          </w:tcPr>
          <w:p>
            <w:r>
              <w:t>开发强度</w:t>
            </w:r>
          </w:p>
        </w:tc>
        <w:tc>
          <w:tcPr>
            <w:tcW w:type="dxa" w:w="1440"/>
          </w:tcPr>
          <w:p>
            <w:r>
              <w:t>正式地块资料待补齐，暂按保守 1 分试算</w:t>
            </w:r>
          </w:p>
        </w:tc>
        <w:tc>
          <w:tcPr>
            <w:tcW w:type="dxa" w:w="1440"/>
          </w:tcPr>
          <w:p>
            <w:r>
              <w:t>1</w:t>
            </w:r>
          </w:p>
        </w:tc>
        <w:tc>
          <w:tcPr>
            <w:tcW w:type="dxa" w:w="1440"/>
          </w:tcPr>
          <w:p>
            <w:r>
              <w:t>0.3393</w:t>
            </w:r>
          </w:p>
        </w:tc>
        <w:tc>
          <w:tcPr>
            <w:tcW w:type="dxa" w:w="1440"/>
          </w:tcPr>
          <w:p>
            <w:r>
              <w:t>0.3393</w:t>
            </w:r>
          </w:p>
        </w:tc>
      </w:tr>
      <w:tr>
        <w:tc>
          <w:tcPr>
            <w:tcW w:type="dxa" w:w="1440"/>
          </w:tcPr>
          <w:p>
            <w:r>
              <w:t>区位属性</w:t>
            </w:r>
          </w:p>
        </w:tc>
        <w:tc>
          <w:tcPr>
            <w:tcW w:type="dxa" w:w="1440"/>
          </w:tcPr>
          <w:p>
            <w:r>
              <w:t>区位能级</w:t>
            </w:r>
          </w:p>
        </w:tc>
        <w:tc>
          <w:tcPr>
            <w:tcW w:type="dxa" w:w="1440"/>
          </w:tcPr>
          <w:p>
            <w:r>
              <w:t>社区级中心</w:t>
            </w:r>
          </w:p>
        </w:tc>
        <w:tc>
          <w:tcPr>
            <w:tcW w:type="dxa" w:w="1440"/>
          </w:tcPr>
          <w:p>
            <w:r>
              <w:t>2</w:t>
            </w:r>
          </w:p>
        </w:tc>
        <w:tc>
          <w:tcPr>
            <w:tcW w:type="dxa" w:w="1440"/>
          </w:tcPr>
          <w:p>
            <w:r>
              <w:t>0.1407</w:t>
            </w:r>
          </w:p>
        </w:tc>
        <w:tc>
          <w:tcPr>
            <w:tcW w:type="dxa" w:w="1440"/>
          </w:tcPr>
          <w:p>
            <w:r>
              <w:t>0.2814</w:t>
            </w:r>
          </w:p>
        </w:tc>
      </w:tr>
      <w:tr>
        <w:tc>
          <w:tcPr>
            <w:tcW w:type="dxa" w:w="1440"/>
          </w:tcPr>
          <w:p>
            <w:r>
              <w:t>交通属性</w:t>
            </w:r>
          </w:p>
        </w:tc>
        <w:tc>
          <w:tcPr>
            <w:tcW w:type="dxa" w:w="1440"/>
          </w:tcPr>
          <w:p>
            <w:r>
              <w:t>出行客流</w:t>
            </w:r>
          </w:p>
        </w:tc>
        <w:tc>
          <w:tcPr>
            <w:tcW w:type="dxa" w:w="1440"/>
          </w:tcPr>
          <w:p>
            <w:r>
              <w:t>日均进站量小于 2500</w:t>
            </w:r>
          </w:p>
        </w:tc>
        <w:tc>
          <w:tcPr>
            <w:tcW w:type="dxa" w:w="1440"/>
          </w:tcPr>
          <w:p>
            <w:r>
              <w:t>1</w:t>
            </w:r>
          </w:p>
        </w:tc>
        <w:tc>
          <w:tcPr>
            <w:tcW w:type="dxa" w:w="1440"/>
          </w:tcPr>
          <w:p>
            <w:r>
              <w:t>0.2535</w:t>
            </w:r>
          </w:p>
        </w:tc>
        <w:tc>
          <w:tcPr>
            <w:tcW w:type="dxa" w:w="1440"/>
          </w:tcPr>
          <w:p>
            <w:r>
              <w:t>0.2535</w:t>
            </w:r>
          </w:p>
        </w:tc>
      </w:tr>
      <w:tr>
        <w:tc>
          <w:tcPr>
            <w:tcW w:type="dxa" w:w="1440"/>
          </w:tcPr>
          <w:p>
            <w:r>
              <w:t>交通属性</w:t>
            </w:r>
          </w:p>
        </w:tc>
        <w:tc>
          <w:tcPr>
            <w:tcW w:type="dxa" w:w="1440"/>
          </w:tcPr>
          <w:p>
            <w:r>
              <w:t>高效换乘</w:t>
            </w:r>
          </w:p>
        </w:tc>
        <w:tc>
          <w:tcPr>
            <w:tcW w:type="dxa" w:w="1440"/>
          </w:tcPr>
          <w:p>
            <w:r>
              <w:t>一般站</w:t>
            </w:r>
          </w:p>
        </w:tc>
        <w:tc>
          <w:tcPr>
            <w:tcW w:type="dxa" w:w="1440"/>
          </w:tcPr>
          <w:p>
            <w:r>
              <w:t>2</w:t>
            </w:r>
          </w:p>
        </w:tc>
        <w:tc>
          <w:tcPr>
            <w:tcW w:type="dxa" w:w="1440"/>
          </w:tcPr>
          <w:p>
            <w:r>
              <w:t>0.0441</w:t>
            </w:r>
          </w:p>
        </w:tc>
        <w:tc>
          <w:tcPr>
            <w:tcW w:type="dxa" w:w="1440"/>
          </w:tcPr>
          <w:p>
            <w:r>
              <w:t>0.0882</w:t>
            </w:r>
          </w:p>
        </w:tc>
      </w:tr>
      <w:tr>
        <w:tc>
          <w:tcPr>
            <w:tcW w:type="dxa" w:w="1440"/>
          </w:tcPr>
          <w:p>
            <w:r>
              <w:t>地下属性</w:t>
            </w:r>
          </w:p>
        </w:tc>
        <w:tc>
          <w:tcPr>
            <w:tcW w:type="dxa" w:w="1440"/>
          </w:tcPr>
          <w:p>
            <w:r>
              <w:t>地下空间</w:t>
            </w:r>
          </w:p>
        </w:tc>
        <w:tc>
          <w:tcPr>
            <w:tcW w:type="dxa" w:w="1440"/>
          </w:tcPr>
          <w:p>
            <w:r>
              <w:t>正式地块资料待补齐，暂按保守 1 分试算</w:t>
            </w:r>
          </w:p>
        </w:tc>
        <w:tc>
          <w:tcPr>
            <w:tcW w:type="dxa" w:w="1440"/>
          </w:tcPr>
          <w:p>
            <w:r>
              <w:t>1</w:t>
            </w:r>
          </w:p>
        </w:tc>
        <w:tc>
          <w:tcPr>
            <w:tcW w:type="dxa" w:w="1440"/>
          </w:tcPr>
          <w:p>
            <w:r>
              <w:t>0.1429</w:t>
            </w:r>
          </w:p>
        </w:tc>
        <w:tc>
          <w:tcPr>
            <w:tcW w:type="dxa" w:w="1440"/>
          </w:tcPr>
          <w:p>
            <w:r>
              <w:t>0.1429</w:t>
            </w:r>
          </w:p>
        </w:tc>
      </w:tr>
    </w:tbl>
    <w:p>
      <w:pPr>
        <w:pStyle w:val="Heading1"/>
      </w:pPr>
      <w:r>
        <w:t>推荐方案与备选方案</w:t>
      </w:r>
    </w:p>
    <w:tbl>
      <w:tblPr>
        <w:tblW w:type="auto" w:w="0"/>
        <w:tblLook w:firstColumn="1" w:firstRow="1" w:lastColumn="0" w:lastRow="0" w:noHBand="0" w:noVBand="1" w:val="04A0"/>
      </w:tblPr>
      <w:tblGrid>
        <w:gridCol w:w="2160"/>
        <w:gridCol w:w="2160"/>
        <w:gridCol w:w="2160"/>
        <w:gridCol w:w="2160"/>
      </w:tblGrid>
      <w:tr>
        <w:tc>
          <w:tcPr>
            <w:tcW w:type="dxa" w:w="2160"/>
          </w:tcPr>
          <w:p>
            <w:r>
              <w:t>类型</w:t>
            </w:r>
          </w:p>
        </w:tc>
        <w:tc>
          <w:tcPr>
            <w:tcW w:type="dxa" w:w="2160"/>
          </w:tcPr>
          <w:p>
            <w:r>
              <w:t>名称</w:t>
            </w:r>
          </w:p>
        </w:tc>
        <w:tc>
          <w:tcPr>
            <w:tcW w:type="dxa" w:w="2160"/>
          </w:tcPr>
          <w:p>
            <w:r>
              <w:t>类别</w:t>
            </w:r>
          </w:p>
        </w:tc>
        <w:tc>
          <w:tcPr>
            <w:tcW w:type="dxa" w:w="2160"/>
          </w:tcPr>
          <w:p>
            <w:r>
              <w:t>核心适用场景</w:t>
            </w:r>
          </w:p>
        </w:tc>
      </w:tr>
      <w:tr>
        <w:tc>
          <w:tcPr>
            <w:tcW w:type="dxa" w:w="2160"/>
          </w:tcPr>
          <w:p>
            <w:r>
              <w:t>推荐</w:t>
            </w:r>
          </w:p>
        </w:tc>
        <w:tc>
          <w:tcPr>
            <w:tcW w:type="dxa" w:w="2160"/>
          </w:tcPr>
          <w:p>
            <w:r>
              <w:t>风雨连廊</w:t>
            </w:r>
          </w:p>
        </w:tc>
        <w:tc>
          <w:tcPr>
            <w:tcW w:type="dxa" w:w="2160"/>
          </w:tcPr>
          <w:p>
            <w:r>
              <w:t>地面联通</w:t>
            </w:r>
          </w:p>
        </w:tc>
        <w:tc>
          <w:tcPr>
            <w:tcW w:type="dxa" w:w="2160"/>
          </w:tcPr>
          <w:p>
            <w:r>
              <w:t>居住类、学校医院、青年公寓、社区公服、无地下公共空间</w:t>
            </w:r>
          </w:p>
        </w:tc>
      </w:tr>
      <w:tr>
        <w:tc>
          <w:tcPr>
            <w:tcW w:type="dxa" w:w="2160"/>
          </w:tcPr>
          <w:p>
            <w:r>
              <w:t>备选</w:t>
            </w:r>
          </w:p>
        </w:tc>
        <w:tc>
          <w:tcPr>
            <w:tcW w:type="dxa" w:w="2160"/>
          </w:tcPr>
          <w:p>
            <w:r>
              <w:t>地面步行道</w:t>
            </w:r>
          </w:p>
        </w:tc>
        <w:tc>
          <w:tcPr>
            <w:tcW w:type="dxa" w:w="2160"/>
          </w:tcPr>
          <w:p>
            <w:r>
              <w:t>地面联通</w:t>
            </w:r>
          </w:p>
        </w:tc>
        <w:tc>
          <w:tcPr>
            <w:tcW w:type="dxa" w:w="2160"/>
          </w:tcPr>
          <w:p>
            <w:r>
              <w:t>可连地块、低成本改造、近期实施</w:t>
            </w:r>
          </w:p>
        </w:tc>
      </w:tr>
      <w:tr>
        <w:tc>
          <w:tcPr>
            <w:tcW w:type="dxa" w:w="2160"/>
          </w:tcPr>
          <w:p>
            <w:r>
              <w:t>备选</w:t>
            </w:r>
          </w:p>
        </w:tc>
        <w:tc>
          <w:tcPr>
            <w:tcW w:type="dxa" w:w="2160"/>
          </w:tcPr>
          <w:p>
            <w:r>
              <w:t>地下次通道</w:t>
            </w:r>
          </w:p>
        </w:tc>
        <w:tc>
          <w:tcPr>
            <w:tcW w:type="dxa" w:w="2160"/>
          </w:tcPr>
          <w:p>
            <w:r>
              <w:t>地下联通</w:t>
            </w:r>
          </w:p>
        </w:tc>
        <w:tc>
          <w:tcPr>
            <w:tcW w:type="dxa" w:w="2160"/>
          </w:tcPr>
          <w:p>
            <w:r>
              <w:t>尽连地块、可连地块、停车接驳、接口预留</w:t>
            </w:r>
          </w:p>
        </w:tc>
      </w:tr>
    </w:tbl>
    <w:p>
      <w:pPr>
        <w:pStyle w:val="Heading1"/>
      </w:pPr>
      <w:r>
        <w:t>1. 客户报告生成提示</w:t>
      </w:r>
    </w:p>
    <w:p>
      <w:r>
        <w:t>当前尚未连接可用模型。系统已完成规则评分、资料检索和研究问题准备，但不会自动生成完整顾问式成果报告。请连接模型后重新运行评估，或在页面提示中确认使用离线兜底，由本地知识库和五类标杆案例生成客户报告初稿。</w:t>
      </w:r>
    </w:p>
    <w:p>
      <w:pPr>
        <w:pStyle w:val="Heading1"/>
      </w:pPr>
      <w:r>
        <w:t>附录：规则评分与系统研判摘要</w:t>
      </w:r>
    </w:p>
    <w:p>
      <w:pPr>
        <w:pStyle w:val="Heading2"/>
      </w:pPr>
      <w:r>
        <w:t>A1. 项目概况与资料边界</w:t>
      </w:r>
    </w:p>
    <w:p>
      <w:r>
        <w:t>富翔路站周边互联互通预评估对应站点为富翔路，所属区划为相城区，地块位置为富翔路站周边，圈层为200m核心开发区。地块业态为苏州幼儿师范高等专科学校高铁新城实验幼儿园；富翔路站（公交站）；相融路敏秀路北（公交站），用地面积约待补齐平方米，建筑面积约待补齐平方米，规划指标为待补齐规划指标。邻近出入口为2号出入口，日均客流为1341 人次/日（每站每月日均进站.xlsx：2025-11日均进站）。站点侧已识别出入口 6 个，联通形式 预留接口，问题记录 0 条。运营公司202604资料显示，站点出入口开放 4/4 个，运营管理 4 个；周边配套包括学校：苏州幼儿师范高等专科学校高铁新城实验幼儿园；交通/公益：富翔路站（公交站）、相融路敏秀路北（公交站）；住宅：环秀湖花园；商业景点：高铁新城环秀湖畔；其他：CCF业务总部学术交流中心、中荷科技创新港。本段仅描述已入库事实和待补齐资料边界，不把周边配套线索直接等同为地块正式评分输入。</w:t>
      </w:r>
    </w:p>
    <w:p>
      <w:pPr>
        <w:pStyle w:val="Heading2"/>
      </w:pPr>
      <w:r>
        <w:t>A2. 评价口径与引用依据</w:t>
      </w:r>
    </w:p>
    <w:p>
      <w:r>
        <w:t>本次评价以PPT工作方案、评价因子赋值表和20260507反馈为主控口径，引用依据包括：互联互通智能体研发工作方案0318.pptx（确定近期目标、评价到报告的工作流、规则优先级和试点交付边界。）；评价因子赋值明细表.xlsx（确定功能、区位、交通、地下四类维度、因子权重和选项赋值。）；20260507反馈（确认评分口径以Excel/PPT为准，早期样例报告仅作章节和表达参考。）；车站TOD级别划分整理.xlsx（提供富翔路的TOD级别、线路和区位能级。）；每站每月日均进站.xlsx（提供站点日均进站客流，用于交通属性中的出行客流因子。）；苏州地铁运营站点出入口、联通接口情况梳理统计表20260128.xlsx（提供出入口、接口、联通形式、开发进度和推进问题线索。）；运营公司车站出入口开放及周边配套统计表202604.xlsx（提供出入口开放、运营管理、周边学校/商业/住宅/公共设施等配套线索。）；苏州轨道交通站点周边地下公共联通空间设计细则-结题评审修改稿.docx（作为地下联通空间、接口、无障碍、消防、运营界面等设计控制要求的知识库来源。）。其中评分因子、权重和等级阈值由结构化规则引擎计算；设计细则、运营资料和周边配套作为解释、比选、风险识别和补齐项提示依据。</w:t>
      </w:r>
    </w:p>
    <w:p>
      <w:pPr>
        <w:pStyle w:val="Heading2"/>
      </w:pPr>
      <w:r>
        <w:t>A3. 站点能级、客流与接口研判</w:t>
      </w:r>
    </w:p>
    <w:p>
      <w:r>
        <w:t>富翔路的区位能级为组团级TOD，线路/换乘信息为2，日均客流为1341 人次/日（每站每月日均进站.xlsx：2025-11日均进站）。客流记录覆盖至 2025-11，平均日均进站 861.57 人次/日。站点侧已识别出入口 6 个，联通形式 预留接口，问题记录 0 条。这些信息用于判断站点侧联通需求、接口成熟度和近期实施抓手；若后续接入客流预测、客流方向、分时段拥挤度，可进一步细化为路径级方案建议。</w:t>
      </w:r>
    </w:p>
    <w:p>
      <w:pPr>
        <w:pStyle w:val="Heading2"/>
      </w:pPr>
      <w:r>
        <w:t>A4. 周边功能与服务对象研判</w:t>
      </w:r>
    </w:p>
    <w:p>
      <w:r>
        <w:t>运营公司202604资料和站点周边索引显示，周边配套包括学校：苏州幼儿师范高等专科学校高铁新城实验幼儿园；交通/公益：富翔路站（公交站）、相融路敏秀路北（公交站）；住宅：环秀湖花园；商业景点：高铁新城环秀湖畔；其他：CCF业务总部学术交流中心、中荷科技创新港。这些内容可辅助判断服务对象、全天候需求、导向标识和步行系统连续性，但仍需控规、规划条件和地块方案确认具体用地功能、开发强度和地下空间条件。</w:t>
      </w:r>
    </w:p>
    <w:p>
      <w:pPr>
        <w:pStyle w:val="Heading2"/>
      </w:pPr>
      <w:r>
        <w:t>A5. 多维度评分拆解</w:t>
      </w:r>
    </w:p>
    <w:p>
      <w:r>
        <w:t>本次按功能、区位、交通、地下四个维度进行参数化试算，维度得分为：功能属性 0.4188 分；区位属性 0.2814 分；交通属性 0.3417 分；地下属性 0.1429 分。维度解释为：功能属性：功能属性含用地功能；开发强度临时试算，结论需随资料补齐复核。；区位属性：区位属性贡献中等或偏弱，需结合工程条件和实施成本综合判断。；交通属性：交通属性贡献中等或偏弱，需结合工程条件和实施成本综合判断。；地下属性：地下属性含地下空间临时试算，结论需随资料补齐复核。。对临时试算因子，系统保留1分保守值并在待补齐项中说明原因，避免用推断数据替代正式资料。</w:t>
      </w:r>
    </w:p>
    <w:p>
      <w:pPr>
        <w:pStyle w:val="Heading2"/>
      </w:pPr>
      <w:r>
        <w:t>A6. 联通必要性评估结论</w:t>
      </w:r>
    </w:p>
    <w:p>
      <w:r>
        <w:t>原始加权分为 1.1848/4.0795，折算百分制为 29.04 分，按 20260507 反馈的 80/60 阈值判定为可连地块。鼓励、建议联通；结合项目诉求、建设条件和成本效益确定实施方式。客流记录覆盖至 2025-11，平均日均进站 861.57 人次/日。该结论表示当前资料条件下的必要性等级；若后续补齐地块规模、地下空间或接口条件，系统应重新计算并输出差异说明。</w:t>
      </w:r>
    </w:p>
    <w:p>
      <w:pPr>
        <w:pStyle w:val="Heading2"/>
      </w:pPr>
      <w:r>
        <w:t>A7. 推荐方案与方案比选</w:t>
      </w:r>
    </w:p>
    <w:p>
      <w:r>
        <w:t>系统推荐采用风雨连廊，推荐理由为：站点周边存在稳定接驳需求，但地下空间和地块开发强度尚待确认，近期宜优先组织风雨连廊或连续遮蔽步行系统，并预留远期地下接口。。备选方案包括地面步行道、地下次通道。比选框架为：推荐方案风雨连廊，适用：居住类；学校医院；青年公寓；社区公服；无地下公共空间，回避：人行道净宽不足；风貌管控严格且未论证；备选方案1地面步行道，适用：可连地块；低成本改造；近期实施，回避：跨越主干路；全天候需求强但无遮蔽条件；备选方案2地下次通道，适用：尽连地块；可连地块；停车接驳；接口预留，回避：地下空间缺失；工程经济性明显不足。后续可按接口可达性、投资强度、施工影响、全天候服务、运营管理和城市风貌六类指标做专家复核。</w:t>
      </w:r>
    </w:p>
    <w:p>
      <w:pPr>
        <w:pStyle w:val="Heading2"/>
      </w:pPr>
      <w:r>
        <w:t>A8. 方案设计核心技术要求</w:t>
      </w:r>
    </w:p>
    <w:p>
      <w:r>
        <w:t>风雨连廊属于地面联通方式。核心技术要求包括：适用于地面接驳需求强、地下连通工程经济性不足的场景。；应保障人行道剩余通行净宽和无障碍通行。；需与车站出入口集散空间、地块主入口和标识系统连续衔接。；结构、排水、照明和城市风貌应同步控制。。深化设计还应明确通行净宽、净高、坡道/电梯、导向标识、照明、排水、防滑、运营管理界面和应急疏散组织。</w:t>
      </w:r>
    </w:p>
    <w:p>
      <w:pPr>
        <w:pStyle w:val="Heading2"/>
      </w:pPr>
      <w:r>
        <w:t>A9. 风险约束与专项复核</w:t>
      </w:r>
    </w:p>
    <w:p>
      <w:r>
        <w:t>重点风险和复核建议包括：正式地块资料：用地性质、建筑面积/容积率、地下空间功能缺失时，评分和推荐只能作为站点级预评估。建议：补齐控规图则、规划条件、地块指标和地下空间说明后复核。；接口工程条件：接口位置、标高、非付费区关系、结构边界和防水节点决定推荐方式能否落地。建议：深化阶段需核对车站接口条件、地块地下室平面和竖向标高。；消防与疏散：地下或封闭连通空间涉及防火分区、排烟、疏散距离、运营管理边界。建议：方案比选时同步校核消防专项和运营分界。；无障碍与导向：步行接驳应保证连续无障碍、夜间照明、导向识别和客流组织清晰。建议：近期实施方案应先落实连续路径和标识系统。；权属与施工界面：红线、产权、管线迁改、施工组织和费用分摊可能改变方案优先级。建议：把权属边界、施工时序和投资责任纳入补齐清单。；补齐后结论漂移：当前3项缺口按保守值试算，补齐后评分等级和推荐方式可能变化。建议：保留本次预评估版本，补齐后生成复核版并对比分值变化。。上述风险不直接否定推荐方案，但会影响方案层级、接口形式、建设时序和投资责任划分。</w:t>
      </w:r>
    </w:p>
    <w:p>
      <w:pPr>
        <w:pStyle w:val="Heading2"/>
      </w:pPr>
      <w:r>
        <w:t>A10. 智能研究计划与能力状态</w:t>
      </w:r>
    </w:p>
    <w:p>
      <w:r>
        <w:t>系统按“规则保底、实时研究、本地知识兜底、模型增强”的策略生成研究计划，当前能力状态为：本地缓存cache，独立搜索not_configured，模型failed，模型联网unverified。匹配标杆案例为通用站点互联互通预评估。本轮研究问题包括：富翔路在TOD等级、线路换乘、客流和片区功能中承担什么角色？；周边商业、公服、居住、学校、医院、枢纽等服务对象是否形成稳定联通需求？；车站非付费区、出入口、地块地下室和竖向标高是否支持推荐联通方式？；当前项目与“通用站点互联互通预评估”相比，哪些维度应借鉴、哪些条件需复核？；消防疏散、运营界面、管线权属、风貌景观和建设时序有哪些不确定性？；正式提资缺项会如何影响评分等级、方案优先级和实施建议？。模型可用时以模型综合研判为主，本地资料作为证据弹药；未连接模型时需用户确认后才使用离线兜底。</w:t>
      </w:r>
    </w:p>
    <w:p>
      <w:pPr>
        <w:pStyle w:val="Heading2"/>
      </w:pPr>
      <w:r>
        <w:t>A11. 证据包与来源置信度</w:t>
      </w:r>
    </w:p>
    <w:p>
      <w:r>
        <w:t>本轮证据包模式为offline_cache，共收集23条证据，其中缓存23条、实时0条。代表性证据包括：（核心工作思路，最优先）互联互通智能体研发工作方案0318.pptx / 第4页（（核心工作思路，最优先）互联互通智能体研发工作方案0318.pptx，置信度0.86，缓存）；苏州轨道交通站点周边地下公共联通空间设计细则-结题评审修改稿.docx / 表格 1（苏州轨道交通站点周边地下公共联通空间设计细则-结题评审修改稿.docx，置信度0.86，缓存）；轨道站点出入口周边空间一体化设计指引(1).docx / 段落 76（轨道站点出入口周边空间一体化设计指引(1).docx，置信度0.86，缓存）；20231128苏州市轨道交通站城融合设计导则.pdf / 第3页（20231128苏州市轨道交通站城融合设计导则.pdf，置信度0.86，缓存）；苏州轨道交通4号线清树湾站东南象限青年公寓地块与车站互联互通必要性评估与设计方案报告.docx / 段落 50（苏州轨道交通4号线清树湾站东南象限青年公寓地块与车站互联互通必要性评估与设计方案报告.docx，置信度0.86，缓存）；苏州轨道交通4号线清树湾站东南象限青年公寓地块与车站互联互通必要性评估与设计方案报告.docx / 段落 56（苏州轨道交通4号线清树湾站东南象限青年公寓地块与车站互联互通必要性评估与设计方案报告.docx，置信度0.86，缓存）；苏州轨道交通6号线金家堰站东北象限邻里中心地块与车站互联互通必要性评估与设计方案报告.docx / 段落 55（苏州轨道交通6号线金家堰站东北象限邻里中心地块与车站互联互通必要性评估与设计方案报告.docx，置信度0.86，缓存）；规则评分与等级（评价因子赋值明细表.xlsx / 后端规则引擎，置信度1.0，缓存）；富翔路客流线索（每站每月日均进站.xlsx：2025-11日均进站，置信度0.92，缓存）；富翔路出入口与联通接口（苏州地铁运营站点出入口、联通接口情况梳理统计表20260128.xlsx，置信度0.9，缓存）。证据优先级为项目正式输入/规则源、本地标杆缓存、独立搜索、模型联网低置信补充；未被印证的外部信息只作为复核线索。</w:t>
      </w:r>
    </w:p>
    <w:p>
      <w:pPr>
        <w:pStyle w:val="Heading2"/>
      </w:pPr>
      <w:r>
        <w:t>A12. 模型导向多维研判</w:t>
      </w:r>
    </w:p>
    <w:p>
      <w:r>
        <w:t>尚未连接可用模型。系统已准备研究计划和本地证据包，但不会自动使用离线兜底生成综合研判。动态维度研判包括：。不确定性包括：未检测到可用模型或模型调用失败。；需要用户确认后，才会使用本地知识库和五类标杆案例缓存生成离线兜底研判。。人工复核问题包括：是否连接模型后重新运行评估？；是否确认使用离线兜底，由本地资料提供研判弹药？。上述模型导向研判不替代四维规则评分，不改写综合分、等级和推荐方式。</w:t>
      </w:r>
    </w:p>
    <w:p>
      <w:pPr>
        <w:pStyle w:val="Heading2"/>
      </w:pPr>
      <w:r>
        <w:t>A13. 资料补齐与复核路径</w:t>
      </w:r>
    </w:p>
    <w:p>
      <w:r>
        <w:t>资料完整性状态：未提供具体地块用地性质；运营表中的地块名称和周边配套已作为背景线索入库，但不能等同正式用地功能评分。；未提供建筑面积、用地面积、容积率或开发强度分档，当前按保守 1 分临时试算。；运营表已识别联通形式：预留接口；但未提供地块地下空间功能、开放属性和接口标高，暂不作为地下空间因子正式赋值。。建议在方案深化前补齐站点客流、接口标高、出入口位置、地下空间功能、建设时序和特殊约束条件。补齐后应重新运行评分，并输出补齐前后等级、推荐方式和关键因子变化。</w:t>
      </w:r>
    </w:p>
    <w:p>
      <w:pPr>
        <w:pStyle w:val="Heading2"/>
      </w:pPr>
      <w:r>
        <w:t>A14. 实施时序与协同建议</w:t>
      </w:r>
    </w:p>
    <w:p>
      <w:r>
        <w:t>近期建议先形成可落地的步行接驳、导向标识、接口预留和资料补齐清单；中期结合地块方案、地下空间和接口标高做工程可行性比选；远期在片区更新或地块开发同步阶段推动站城一体化连通、运营管理界面和投资责任机制。责任协同建议覆盖轨道运营、规划设计、地块开发主体、道路/市政/管线单位和消防审查单位。</w:t>
      </w:r>
    </w:p>
    <w:p>
      <w:pPr>
        <w:pStyle w:val="Heading2"/>
      </w:pPr>
      <w:r>
        <w:t>A15. LLM综合判断框架</w:t>
      </w:r>
    </w:p>
    <w:p>
      <w:r>
        <w:t>后续接入其他LLM时，建议把本次后端结果作为不可篡改事实输入，LLM只负责综合解释、方案复核和专家式建议。输入应包括项目事实、引用依据、四维评分拆解、推荐与备选方案、风险复核点和待补齐资料。建议输出结构为：综合判断结论、主要依据与引用来源、推荐方案适用性说明、备选方案触发条件、风险与需补齐资料、近期/中期/远期实施建议、人工复核问题清单。LLM不得自行改分、改等级或把缺失资料补成确定事实；所有新增判断应标注依据、置信度和需人工确认的问题。</w:t>
      </w:r>
    </w:p>
    <w:p>
      <w:pPr>
        <w:pStyle w:val="Heading1"/>
      </w:pPr>
      <w:r>
        <w:t>LLM综合判断结构化上下文</w:t>
      </w:r>
    </w:p>
    <w:p>
      <w:r>
        <w:t>供未来接入的LLM或人工专家在规则计算结果基础上做综合研判，不覆盖后端评分事实。</w:t>
      </w:r>
    </w:p>
    <w:tbl>
      <w:tblPr>
        <w:tblW w:type="auto" w:w="0"/>
        <w:tblLook w:firstColumn="1" w:firstRow="1" w:lastColumn="0" w:lastRow="0" w:noHBand="0" w:noVBand="1" w:val="04A0"/>
      </w:tblPr>
      <w:tblGrid>
        <w:gridCol w:w="2880"/>
        <w:gridCol w:w="2880"/>
        <w:gridCol w:w="2880"/>
      </w:tblGrid>
      <w:tr>
        <w:tc>
          <w:tcPr>
            <w:tcW w:type="dxa" w:w="2880"/>
          </w:tcPr>
          <w:p>
            <w:r>
              <w:t>引用来源</w:t>
            </w:r>
          </w:p>
        </w:tc>
        <w:tc>
          <w:tcPr>
            <w:tcW w:type="dxa" w:w="2880"/>
          </w:tcPr>
          <w:p>
            <w:r>
              <w:t>用途</w:t>
            </w:r>
          </w:p>
        </w:tc>
        <w:tc>
          <w:tcPr>
            <w:tcW w:type="dxa" w:w="2880"/>
          </w:tcPr>
          <w:p>
            <w:r>
              <w:t>状态</w:t>
            </w:r>
          </w:p>
        </w:tc>
      </w:tr>
      <w:tr>
        <w:tc>
          <w:tcPr>
            <w:tcW w:type="dxa" w:w="2880"/>
          </w:tcPr>
          <w:p>
            <w:r>
              <w:t>互联互通智能体研发工作方案0318.pptx</w:t>
            </w:r>
          </w:p>
        </w:tc>
        <w:tc>
          <w:tcPr>
            <w:tcW w:type="dxa" w:w="2880"/>
          </w:tcPr>
          <w:p>
            <w:r>
              <w:t>确定近期目标、评价到报告的工作流、规则优先级和试点交付边界。</w:t>
            </w:r>
          </w:p>
        </w:tc>
        <w:tc>
          <w:tcPr>
            <w:tcW w:type="dxa" w:w="2880"/>
          </w:tcPr>
          <w:p>
            <w:r>
              <w:t>PPT规则源，优先于早期示例报告。</w:t>
            </w:r>
          </w:p>
        </w:tc>
      </w:tr>
      <w:tr>
        <w:tc>
          <w:tcPr>
            <w:tcW w:type="dxa" w:w="2880"/>
          </w:tcPr>
          <w:p>
            <w:r>
              <w:t>评价因子赋值明细表.xlsx</w:t>
            </w:r>
          </w:p>
        </w:tc>
        <w:tc>
          <w:tcPr>
            <w:tcW w:type="dxa" w:w="2880"/>
          </w:tcPr>
          <w:p>
            <w:r>
              <w:t>确定功能、区位、交通、地下四类维度、因子权重和选项赋值。</w:t>
            </w:r>
          </w:p>
        </w:tc>
        <w:tc>
          <w:tcPr>
            <w:tcW w:type="dxa" w:w="2880"/>
          </w:tcPr>
          <w:p>
            <w:r>
              <w:t>当前评分计算的直接依据。</w:t>
            </w:r>
          </w:p>
        </w:tc>
      </w:tr>
      <w:tr>
        <w:tc>
          <w:tcPr>
            <w:tcW w:type="dxa" w:w="2880"/>
          </w:tcPr>
          <w:p>
            <w:r>
              <w:t>20260507反馈</w:t>
            </w:r>
          </w:p>
        </w:tc>
        <w:tc>
          <w:tcPr>
            <w:tcW w:type="dxa" w:w="2880"/>
          </w:tcPr>
          <w:p>
            <w:r>
              <w:t>确认评分口径以Excel/PPT为准，早期样例报告仅作章节和表达参考。</w:t>
            </w:r>
          </w:p>
        </w:tc>
        <w:tc>
          <w:tcPr>
            <w:tcW w:type="dxa" w:w="2880"/>
          </w:tcPr>
          <w:p>
            <w:r>
              <w:t>验收口径确认。</w:t>
            </w:r>
          </w:p>
        </w:tc>
      </w:tr>
      <w:tr>
        <w:tc>
          <w:tcPr>
            <w:tcW w:type="dxa" w:w="2880"/>
          </w:tcPr>
          <w:p>
            <w:r>
              <w:t>车站TOD级别划分整理.xlsx</w:t>
            </w:r>
          </w:p>
        </w:tc>
        <w:tc>
          <w:tcPr>
            <w:tcW w:type="dxa" w:w="2880"/>
          </w:tcPr>
          <w:p>
            <w:r>
              <w:t>提供富翔路的TOD级别、线路和区位能级。</w:t>
            </w:r>
          </w:p>
        </w:tc>
        <w:tc>
          <w:tcPr>
            <w:tcW w:type="dxa" w:w="2880"/>
          </w:tcPr>
          <w:p>
            <w:r>
              <w:t>站点级预评估依据。</w:t>
            </w:r>
          </w:p>
        </w:tc>
      </w:tr>
      <w:tr>
        <w:tc>
          <w:tcPr>
            <w:tcW w:type="dxa" w:w="2880"/>
          </w:tcPr>
          <w:p>
            <w:r>
              <w:t>每站每月日均进站.xlsx</w:t>
            </w:r>
          </w:p>
        </w:tc>
        <w:tc>
          <w:tcPr>
            <w:tcW w:type="dxa" w:w="2880"/>
          </w:tcPr>
          <w:p>
            <w:r>
              <w:t>提供站点日均进站客流，用于交通属性中的出行客流因子。</w:t>
            </w:r>
          </w:p>
        </w:tc>
        <w:tc>
          <w:tcPr>
            <w:tcW w:type="dxa" w:w="2880"/>
          </w:tcPr>
          <w:p>
            <w:r>
              <w:t>每站每月日均进站.xlsx：2025-11日均进站</w:t>
            </w:r>
          </w:p>
        </w:tc>
      </w:tr>
      <w:tr>
        <w:tc>
          <w:tcPr>
            <w:tcW w:type="dxa" w:w="2880"/>
          </w:tcPr>
          <w:p>
            <w:r>
              <w:t>苏州地铁运营站点出入口、联通接口情况梳理统计表20260128.xlsx</w:t>
            </w:r>
          </w:p>
        </w:tc>
        <w:tc>
          <w:tcPr>
            <w:tcW w:type="dxa" w:w="2880"/>
          </w:tcPr>
          <w:p>
            <w:r>
              <w:t>提供出入口、接口、联通形式、开发进度和推进问题线索。</w:t>
            </w:r>
          </w:p>
        </w:tc>
        <w:tc>
          <w:tcPr>
            <w:tcW w:type="dxa" w:w="2880"/>
          </w:tcPr>
          <w:p>
            <w:r>
              <w:t>用于站点上下文和推荐规则分层，不替代正式地块资料。</w:t>
            </w:r>
          </w:p>
        </w:tc>
      </w:tr>
      <w:tr>
        <w:tc>
          <w:tcPr>
            <w:tcW w:type="dxa" w:w="2880"/>
          </w:tcPr>
          <w:p>
            <w:r>
              <w:t>运营公司车站出入口开放及周边配套统计表202604.xlsx</w:t>
            </w:r>
          </w:p>
        </w:tc>
        <w:tc>
          <w:tcPr>
            <w:tcW w:type="dxa" w:w="2880"/>
          </w:tcPr>
          <w:p>
            <w:r>
              <w:t>提供出入口开放、运营管理、周边学校/商业/住宅/公共设施等配套线索。</w:t>
            </w:r>
          </w:p>
        </w:tc>
        <w:tc>
          <w:tcPr>
            <w:tcW w:type="dxa" w:w="2880"/>
          </w:tcPr>
          <w:p>
            <w:r>
              <w:t>用于周边服务对象判断和资料补齐提示。</w:t>
            </w:r>
          </w:p>
        </w:tc>
      </w:tr>
      <w:tr>
        <w:tc>
          <w:tcPr>
            <w:tcW w:type="dxa" w:w="2880"/>
          </w:tcPr>
          <w:p>
            <w:r>
              <w:t>苏州轨道交通站点周边地下公共联通空间设计细则-结题评审修改稿.docx</w:t>
            </w:r>
          </w:p>
        </w:tc>
        <w:tc>
          <w:tcPr>
            <w:tcW w:type="dxa" w:w="2880"/>
          </w:tcPr>
          <w:p>
            <w:r>
              <w:t>作为地下联通空间、接口、无障碍、消防、运营界面等设计控制要求的知识库来源。</w:t>
            </w:r>
          </w:p>
        </w:tc>
        <w:tc>
          <w:tcPr>
            <w:tcW w:type="dxa" w:w="2880"/>
          </w:tcPr>
          <w:p>
            <w:r>
              <w:t>设计建议引用源，具体条款需在深化阶段人工复核。</w:t>
            </w:r>
          </w:p>
        </w:tc>
      </w:tr>
      <w:tr>
        <w:tc>
          <w:tcPr>
            <w:tcW w:type="dxa" w:w="2880"/>
          </w:tcPr>
          <w:p>
            <w:r>
              <w:t>项目提资资料</w:t>
            </w:r>
          </w:p>
        </w:tc>
        <w:tc>
          <w:tcPr>
            <w:tcW w:type="dxa" w:w="2880"/>
          </w:tcPr>
          <w:p>
            <w:r>
              <w:t>补齐用地性质、建筑面积/容积率、地下空间功能、接口标高、权属边界和专项约束。</w:t>
            </w:r>
          </w:p>
        </w:tc>
        <w:tc>
          <w:tcPr>
            <w:tcW w:type="dxa" w:w="2880"/>
          </w:tcPr>
          <w:p>
            <w:r>
              <w:t>当前仍有3项正式评分或项目资料待补齐。</w:t>
            </w:r>
          </w:p>
        </w:tc>
      </w:tr>
    </w:tbl>
    <w:p>
      <w:pPr>
        <w:pStyle w:val="Heading2"/>
      </w:pPr>
      <w:r>
        <w:t>建议LLM输出结构</w:t>
      </w:r>
    </w:p>
    <w:p>
      <w:pPr>
        <w:pStyle w:val="ListBullet"/>
      </w:pPr>
      <w:r>
        <w:t>综合判断结论</w:t>
      </w:r>
    </w:p>
    <w:p>
      <w:pPr>
        <w:pStyle w:val="ListBullet"/>
      </w:pPr>
      <w:r>
        <w:t>主要依据与引用来源</w:t>
      </w:r>
    </w:p>
    <w:p>
      <w:pPr>
        <w:pStyle w:val="ListBullet"/>
      </w:pPr>
      <w:r>
        <w:t>推荐方案适用性说明</w:t>
      </w:r>
    </w:p>
    <w:p>
      <w:pPr>
        <w:pStyle w:val="ListBullet"/>
      </w:pPr>
      <w:r>
        <w:t>备选方案触发条件</w:t>
      </w:r>
    </w:p>
    <w:p>
      <w:pPr>
        <w:pStyle w:val="ListBullet"/>
      </w:pPr>
      <w:r>
        <w:t>风险与需补齐资料</w:t>
      </w:r>
    </w:p>
    <w:p>
      <w:pPr>
        <w:pStyle w:val="ListBullet"/>
      </w:pPr>
      <w:r>
        <w:t>近期/中期/远期实施建议</w:t>
      </w:r>
    </w:p>
    <w:p>
      <w:pPr>
        <w:pStyle w:val="ListBullet"/>
      </w:pPr>
      <w:r>
        <w:t>人工复核问题清单</w:t>
      </w:r>
    </w:p>
    <w:p>
      <w:pPr>
        <w:pStyle w:val="Heading1"/>
      </w:pPr>
      <w:r>
        <w:t>模型导向研究结构化结果</w:t>
      </w:r>
    </w:p>
    <w:p>
      <w:r>
        <w:t>标杆案例：通用站点互联互通预评估</w:t>
      </w:r>
    </w:p>
    <w:p>
      <w:r>
        <w:t>证据模式：offline_cache</w:t>
      </w:r>
    </w:p>
    <w:p>
      <w:r>
        <w:t>能力状态：本地缓存cache；独立搜索not_configured；模型failed；模型联网unverified。</w:t>
      </w:r>
    </w:p>
    <w:p>
      <w:pPr>
        <w:pStyle w:val="Heading2"/>
      </w:pPr>
      <w:r>
        <w:t>研究问题</w:t>
      </w:r>
    </w:p>
    <w:p>
      <w:pPr>
        <w:pStyle w:val="ListBullet"/>
      </w:pPr>
      <w:r>
        <w:t>富翔路在TOD等级、线路换乘、客流和片区功能中承担什么角色？（high）</w:t>
      </w:r>
    </w:p>
    <w:p>
      <w:pPr>
        <w:pStyle w:val="ListBullet"/>
      </w:pPr>
      <w:r>
        <w:t>周边商业、公服、居住、学校、医院、枢纽等服务对象是否形成稳定联通需求？（high）</w:t>
      </w:r>
    </w:p>
    <w:p>
      <w:pPr>
        <w:pStyle w:val="ListBullet"/>
      </w:pPr>
      <w:r>
        <w:t>车站非付费区、出入口、地块地下室和竖向标高是否支持推荐联通方式？（high）</w:t>
      </w:r>
    </w:p>
    <w:p>
      <w:pPr>
        <w:pStyle w:val="ListBullet"/>
      </w:pPr>
      <w:r>
        <w:t>当前项目与“通用站点互联互通预评估”相比，哪些维度应借鉴、哪些条件需复核？（medium）</w:t>
      </w:r>
    </w:p>
    <w:p>
      <w:pPr>
        <w:pStyle w:val="ListBullet"/>
      </w:pPr>
      <w:r>
        <w:t>消防疏散、运营界面、管线权属、风貌景观和建设时序有哪些不确定性？（medium）</w:t>
      </w:r>
    </w:p>
    <w:p>
      <w:pPr>
        <w:pStyle w:val="ListBullet"/>
      </w:pPr>
      <w:r>
        <w:t>正式提资缺项会如何影响评分等级、方案优先级和实施建议？（high）</w:t>
      </w:r>
    </w:p>
    <w:p>
      <w:pPr>
        <w:pStyle w:val="ListBullet"/>
      </w:pPr>
      <w:r>
        <w:t>地块业态“苏州幼儿师范高等专科学校高铁新城实验幼儿园；富翔路站（公交站）；相融路敏秀路北（公交站）”对全天候接驳、导向和运营边界提出哪些特定要求？（medium）</w:t>
      </w:r>
    </w:p>
    <w:p>
      <w:pPr>
        <w:pStyle w:val="Heading2"/>
      </w:pPr>
      <w:r>
        <w:t>代表性证据</w:t>
      </w:r>
    </w:p>
    <w:tbl>
      <w:tblPr>
        <w:tblW w:type="auto" w:w="0"/>
        <w:tblLook w:firstColumn="1" w:firstRow="1" w:lastColumn="0" w:lastRow="0" w:noHBand="0" w:noVBand="1" w:val="04A0"/>
      </w:tblPr>
      <w:tblGrid>
        <w:gridCol w:w="2160"/>
        <w:gridCol w:w="2160"/>
        <w:gridCol w:w="2160"/>
        <w:gridCol w:w="2160"/>
      </w:tblGrid>
      <w:tr>
        <w:tc>
          <w:tcPr>
            <w:tcW w:type="dxa" w:w="2160"/>
          </w:tcPr>
          <w:p>
            <w:r>
              <w:t>标题</w:t>
            </w:r>
          </w:p>
        </w:tc>
        <w:tc>
          <w:tcPr>
            <w:tcW w:type="dxa" w:w="2160"/>
          </w:tcPr>
          <w:p>
            <w:r>
              <w:t>来源</w:t>
            </w:r>
          </w:p>
        </w:tc>
        <w:tc>
          <w:tcPr>
            <w:tcW w:type="dxa" w:w="2160"/>
          </w:tcPr>
          <w:p>
            <w:r>
              <w:t>置信度</w:t>
            </w:r>
          </w:p>
        </w:tc>
        <w:tc>
          <w:tcPr>
            <w:tcW w:type="dxa" w:w="2160"/>
          </w:tcPr>
          <w:p>
            <w:r>
              <w:t>类型</w:t>
            </w:r>
          </w:p>
        </w:tc>
      </w:tr>
      <w:tr>
        <w:tc>
          <w:tcPr>
            <w:tcW w:type="dxa" w:w="2160"/>
          </w:tcPr>
          <w:p>
            <w:r>
              <w:t>（核心工作思路，最优先）互联互通智能体研发工作方案0318.pptx / 第4页</w:t>
            </w:r>
          </w:p>
        </w:tc>
        <w:tc>
          <w:tcPr>
            <w:tcW w:type="dxa" w:w="2160"/>
          </w:tcPr>
          <w:p>
            <w:r>
              <w:t>（核心工作思路，最优先）互联互通智能体研发工作方案0318.pptx</w:t>
            </w:r>
          </w:p>
        </w:tc>
        <w:tc>
          <w:tcPr>
            <w:tcW w:type="dxa" w:w="2160"/>
          </w:tcPr>
          <w:p>
            <w:r>
              <w:t>0.86</w:t>
            </w:r>
          </w:p>
        </w:tc>
        <w:tc>
          <w:tcPr>
            <w:tcW w:type="dxa" w:w="2160"/>
          </w:tcPr>
          <w:p>
            <w:r>
              <w:t>缓存</w:t>
            </w:r>
          </w:p>
        </w:tc>
      </w:tr>
      <w:tr>
        <w:tc>
          <w:tcPr>
            <w:tcW w:type="dxa" w:w="2160"/>
          </w:tcPr>
          <w:p>
            <w:r>
              <w:t>苏州轨道交通站点周边地下公共联通空间设计细则-结题评审修改稿.docx / 表格 1</w:t>
            </w:r>
          </w:p>
        </w:tc>
        <w:tc>
          <w:tcPr>
            <w:tcW w:type="dxa" w:w="2160"/>
          </w:tcPr>
          <w:p>
            <w:r>
              <w:t>苏州轨道交通站点周边地下公共联通空间设计细则-结题评审修改稿.docx</w:t>
            </w:r>
          </w:p>
        </w:tc>
        <w:tc>
          <w:tcPr>
            <w:tcW w:type="dxa" w:w="2160"/>
          </w:tcPr>
          <w:p>
            <w:r>
              <w:t>0.86</w:t>
            </w:r>
          </w:p>
        </w:tc>
        <w:tc>
          <w:tcPr>
            <w:tcW w:type="dxa" w:w="2160"/>
          </w:tcPr>
          <w:p>
            <w:r>
              <w:t>缓存</w:t>
            </w:r>
          </w:p>
        </w:tc>
      </w:tr>
      <w:tr>
        <w:tc>
          <w:tcPr>
            <w:tcW w:type="dxa" w:w="2160"/>
          </w:tcPr>
          <w:p>
            <w:r>
              <w:t>轨道站点出入口周边空间一体化设计指引(1).docx / 段落 76</w:t>
            </w:r>
          </w:p>
        </w:tc>
        <w:tc>
          <w:tcPr>
            <w:tcW w:type="dxa" w:w="2160"/>
          </w:tcPr>
          <w:p>
            <w:r>
              <w:t>轨道站点出入口周边空间一体化设计指引(1).docx</w:t>
            </w:r>
          </w:p>
        </w:tc>
        <w:tc>
          <w:tcPr>
            <w:tcW w:type="dxa" w:w="2160"/>
          </w:tcPr>
          <w:p>
            <w:r>
              <w:t>0.86</w:t>
            </w:r>
          </w:p>
        </w:tc>
        <w:tc>
          <w:tcPr>
            <w:tcW w:type="dxa" w:w="2160"/>
          </w:tcPr>
          <w:p>
            <w:r>
              <w:t>缓存</w:t>
            </w:r>
          </w:p>
        </w:tc>
      </w:tr>
      <w:tr>
        <w:tc>
          <w:tcPr>
            <w:tcW w:type="dxa" w:w="2160"/>
          </w:tcPr>
          <w:p>
            <w:r>
              <w:t>20231128苏州市轨道交通站城融合设计导则.pdf / 第3页</w:t>
            </w:r>
          </w:p>
        </w:tc>
        <w:tc>
          <w:tcPr>
            <w:tcW w:type="dxa" w:w="2160"/>
          </w:tcPr>
          <w:p>
            <w:r>
              <w:t>20231128苏州市轨道交通站城融合设计导则.pdf</w:t>
            </w:r>
          </w:p>
        </w:tc>
        <w:tc>
          <w:tcPr>
            <w:tcW w:type="dxa" w:w="2160"/>
          </w:tcPr>
          <w:p>
            <w:r>
              <w:t>0.86</w:t>
            </w:r>
          </w:p>
        </w:tc>
        <w:tc>
          <w:tcPr>
            <w:tcW w:type="dxa" w:w="2160"/>
          </w:tcPr>
          <w:p>
            <w:r>
              <w:t>缓存</w:t>
            </w:r>
          </w:p>
        </w:tc>
      </w:tr>
      <w:tr>
        <w:tc>
          <w:tcPr>
            <w:tcW w:type="dxa" w:w="2160"/>
          </w:tcPr>
          <w:p>
            <w:r>
              <w:t>苏州轨道交通4号线清树湾站东南象限青年公寓地块与车站互联互通必要性评估与设计方案报告.docx / 段落 50</w:t>
            </w:r>
          </w:p>
        </w:tc>
        <w:tc>
          <w:tcPr>
            <w:tcW w:type="dxa" w:w="2160"/>
          </w:tcPr>
          <w:p>
            <w:r>
              <w:t>苏州轨道交通4号线清树湾站东南象限青年公寓地块与车站互联互通必要性评估与设计方案报告.docx</w:t>
            </w:r>
          </w:p>
        </w:tc>
        <w:tc>
          <w:tcPr>
            <w:tcW w:type="dxa" w:w="2160"/>
          </w:tcPr>
          <w:p>
            <w:r>
              <w:t>0.86</w:t>
            </w:r>
          </w:p>
        </w:tc>
        <w:tc>
          <w:tcPr>
            <w:tcW w:type="dxa" w:w="2160"/>
          </w:tcPr>
          <w:p>
            <w:r>
              <w:t>缓存</w:t>
            </w:r>
          </w:p>
        </w:tc>
      </w:tr>
      <w:tr>
        <w:tc>
          <w:tcPr>
            <w:tcW w:type="dxa" w:w="2160"/>
          </w:tcPr>
          <w:p>
            <w:r>
              <w:t>苏州轨道交通4号线清树湾站东南象限青年公寓地块与车站互联互通必要性评估与设计方案报告.docx / 段落 56</w:t>
            </w:r>
          </w:p>
        </w:tc>
        <w:tc>
          <w:tcPr>
            <w:tcW w:type="dxa" w:w="2160"/>
          </w:tcPr>
          <w:p>
            <w:r>
              <w:t>苏州轨道交通4号线清树湾站东南象限青年公寓地块与车站互联互通必要性评估与设计方案报告.docx</w:t>
            </w:r>
          </w:p>
        </w:tc>
        <w:tc>
          <w:tcPr>
            <w:tcW w:type="dxa" w:w="2160"/>
          </w:tcPr>
          <w:p>
            <w:r>
              <w:t>0.86</w:t>
            </w:r>
          </w:p>
        </w:tc>
        <w:tc>
          <w:tcPr>
            <w:tcW w:type="dxa" w:w="2160"/>
          </w:tcPr>
          <w:p>
            <w:r>
              <w:t>缓存</w:t>
            </w:r>
          </w:p>
        </w:tc>
      </w:tr>
      <w:tr>
        <w:tc>
          <w:tcPr>
            <w:tcW w:type="dxa" w:w="2160"/>
          </w:tcPr>
          <w:p>
            <w:r>
              <w:t>苏州轨道交通6号线金家堰站东北象限邻里中心地块与车站互联互通必要性评估与设计方案报告.docx / 段落 55</w:t>
            </w:r>
          </w:p>
        </w:tc>
        <w:tc>
          <w:tcPr>
            <w:tcW w:type="dxa" w:w="2160"/>
          </w:tcPr>
          <w:p>
            <w:r>
              <w:t>苏州轨道交通6号线金家堰站东北象限邻里中心地块与车站互联互通必要性评估与设计方案报告.docx</w:t>
            </w:r>
          </w:p>
        </w:tc>
        <w:tc>
          <w:tcPr>
            <w:tcW w:type="dxa" w:w="2160"/>
          </w:tcPr>
          <w:p>
            <w:r>
              <w:t>0.86</w:t>
            </w:r>
          </w:p>
        </w:tc>
        <w:tc>
          <w:tcPr>
            <w:tcW w:type="dxa" w:w="2160"/>
          </w:tcPr>
          <w:p>
            <w:r>
              <w:t>缓存</w:t>
            </w:r>
          </w:p>
        </w:tc>
      </w:tr>
      <w:tr>
        <w:tc>
          <w:tcPr>
            <w:tcW w:type="dxa" w:w="2160"/>
          </w:tcPr>
          <w:p>
            <w:r>
              <w:t>规则评分与等级</w:t>
            </w:r>
          </w:p>
        </w:tc>
        <w:tc>
          <w:tcPr>
            <w:tcW w:type="dxa" w:w="2160"/>
          </w:tcPr>
          <w:p>
            <w:r>
              <w:t>评价因子赋值明细表.xlsx / 后端规则引擎</w:t>
            </w:r>
          </w:p>
        </w:tc>
        <w:tc>
          <w:tcPr>
            <w:tcW w:type="dxa" w:w="2160"/>
          </w:tcPr>
          <w:p>
            <w:r>
              <w:t>1.0</w:t>
            </w:r>
          </w:p>
        </w:tc>
        <w:tc>
          <w:tcPr>
            <w:tcW w:type="dxa" w:w="2160"/>
          </w:tcPr>
          <w:p>
            <w:r>
              <w:t>缓存</w:t>
            </w:r>
          </w:p>
        </w:tc>
      </w:tr>
      <w:tr>
        <w:tc>
          <w:tcPr>
            <w:tcW w:type="dxa" w:w="2160"/>
          </w:tcPr>
          <w:p>
            <w:r>
              <w:t>富翔路客流线索</w:t>
            </w:r>
          </w:p>
        </w:tc>
        <w:tc>
          <w:tcPr>
            <w:tcW w:type="dxa" w:w="2160"/>
          </w:tcPr>
          <w:p>
            <w:r>
              <w:t>每站每月日均进站.xlsx：2025-11日均进站</w:t>
            </w:r>
          </w:p>
        </w:tc>
        <w:tc>
          <w:tcPr>
            <w:tcW w:type="dxa" w:w="2160"/>
          </w:tcPr>
          <w:p>
            <w:r>
              <w:t>0.92</w:t>
            </w:r>
          </w:p>
        </w:tc>
        <w:tc>
          <w:tcPr>
            <w:tcW w:type="dxa" w:w="2160"/>
          </w:tcPr>
          <w:p>
            <w:r>
              <w:t>缓存</w:t>
            </w:r>
          </w:p>
        </w:tc>
      </w:tr>
      <w:tr>
        <w:tc>
          <w:tcPr>
            <w:tcW w:type="dxa" w:w="2160"/>
          </w:tcPr>
          <w:p>
            <w:r>
              <w:t>富翔路出入口与联通接口</w:t>
            </w:r>
          </w:p>
        </w:tc>
        <w:tc>
          <w:tcPr>
            <w:tcW w:type="dxa" w:w="2160"/>
          </w:tcPr>
          <w:p>
            <w:r>
              <w:t>苏州地铁运营站点出入口、联通接口情况梳理统计表20260128.xlsx</w:t>
            </w:r>
          </w:p>
        </w:tc>
        <w:tc>
          <w:tcPr>
            <w:tcW w:type="dxa" w:w="2160"/>
          </w:tcPr>
          <w:p>
            <w:r>
              <w:t>0.9</w:t>
            </w:r>
          </w:p>
        </w:tc>
        <w:tc>
          <w:tcPr>
            <w:tcW w:type="dxa" w:w="2160"/>
          </w:tcPr>
          <w:p>
            <w:r>
              <w:t>缓存</w:t>
            </w:r>
          </w:p>
        </w:tc>
      </w:tr>
      <w:tr>
        <w:tc>
          <w:tcPr>
            <w:tcW w:type="dxa" w:w="2160"/>
          </w:tcPr>
          <w:p>
            <w:r>
              <w:t>推荐方式：风雨连廊</w:t>
            </w:r>
          </w:p>
        </w:tc>
        <w:tc>
          <w:tcPr>
            <w:tcW w:type="dxa" w:w="2160"/>
          </w:tcPr>
          <w:p>
            <w:r>
              <w:t>design_rules.json</w:t>
            </w:r>
          </w:p>
        </w:tc>
        <w:tc>
          <w:tcPr>
            <w:tcW w:type="dxa" w:w="2160"/>
          </w:tcPr>
          <w:p>
            <w:r>
              <w:t>0.9</w:t>
            </w:r>
          </w:p>
        </w:tc>
        <w:tc>
          <w:tcPr>
            <w:tcW w:type="dxa" w:w="2160"/>
          </w:tcPr>
          <w:p>
            <w:r>
              <w:t>缓存</w:t>
            </w:r>
          </w:p>
        </w:tc>
      </w:tr>
      <w:tr>
        <w:tc>
          <w:tcPr>
            <w:tcW w:type="dxa" w:w="2160"/>
          </w:tcPr>
          <w:p>
            <w:r>
              <w:t>富翔路周边配套</w:t>
            </w:r>
          </w:p>
        </w:tc>
        <w:tc>
          <w:tcPr>
            <w:tcW w:type="dxa" w:w="2160"/>
          </w:tcPr>
          <w:p>
            <w:r>
              <w:t>运营公司车站出入口开放及周边配套统计表202604.xlsx</w:t>
            </w:r>
          </w:p>
        </w:tc>
        <w:tc>
          <w:tcPr>
            <w:tcW w:type="dxa" w:w="2160"/>
          </w:tcPr>
          <w:p>
            <w:r>
              <w:t>0.86</w:t>
            </w:r>
          </w:p>
        </w:tc>
        <w:tc>
          <w:tcPr>
            <w:tcW w:type="dxa" w:w="2160"/>
          </w:tcPr>
          <w:p>
            <w:r>
              <w:t>缓存</w:t>
            </w:r>
          </w:p>
        </w:tc>
      </w:tr>
    </w:tbl>
    <w:p>
      <w:pPr>
        <w:pStyle w:val="Heading2"/>
      </w:pPr>
      <w:r>
        <w:t>动态维度研判</w:t>
      </w:r>
    </w:p>
    <w:p>
      <w:pPr>
        <w:pStyle w:val="Heading1"/>
      </w:pPr>
      <w:r>
        <w:t>待补齐资料清单</w:t>
      </w:r>
    </w:p>
    <w:tbl>
      <w:tblPr>
        <w:tblW w:type="auto" w:w="0"/>
        <w:tblLook w:firstColumn="1" w:firstRow="1" w:lastColumn="0" w:lastRow="0" w:noHBand="0" w:noVBand="1" w:val="04A0"/>
      </w:tblPr>
      <w:tblGrid>
        <w:gridCol w:w="2880"/>
        <w:gridCol w:w="2880"/>
        <w:gridCol w:w="2880"/>
      </w:tblGrid>
      <w:tr>
        <w:tc>
          <w:tcPr>
            <w:tcW w:type="dxa" w:w="2880"/>
          </w:tcPr>
          <w:p>
            <w:r>
              <w:t>因子</w:t>
            </w:r>
          </w:p>
        </w:tc>
        <w:tc>
          <w:tcPr>
            <w:tcW w:type="dxa" w:w="2880"/>
          </w:tcPr>
          <w:p>
            <w:r>
              <w:t>名称</w:t>
            </w:r>
          </w:p>
        </w:tc>
        <w:tc>
          <w:tcPr>
            <w:tcW w:type="dxa" w:w="2880"/>
          </w:tcPr>
          <w:p>
            <w:r>
              <w:t>说明</w:t>
            </w:r>
          </w:p>
        </w:tc>
      </w:tr>
      <w:tr>
        <w:tc>
          <w:tcPr>
            <w:tcW w:type="dxa" w:w="2880"/>
          </w:tcPr>
          <w:p>
            <w:r>
              <w:t>land_use</w:t>
            </w:r>
          </w:p>
        </w:tc>
        <w:tc>
          <w:tcPr>
            <w:tcW w:type="dxa" w:w="2880"/>
          </w:tcPr>
          <w:p>
            <w:r>
              <w:t>用地功能</w:t>
            </w:r>
          </w:p>
        </w:tc>
        <w:tc>
          <w:tcPr>
            <w:tcW w:type="dxa" w:w="2880"/>
          </w:tcPr>
          <w:p>
            <w:r>
              <w:t>未提供具体地块用地性质；运营表中的地块名称和周边配套已作为背景线索入库，但不能等同正式用地功能评分。</w:t>
            </w:r>
          </w:p>
        </w:tc>
      </w:tr>
      <w:tr>
        <w:tc>
          <w:tcPr>
            <w:tcW w:type="dxa" w:w="2880"/>
          </w:tcPr>
          <w:p>
            <w:r>
              <w:t>development_intensity</w:t>
            </w:r>
          </w:p>
        </w:tc>
        <w:tc>
          <w:tcPr>
            <w:tcW w:type="dxa" w:w="2880"/>
          </w:tcPr>
          <w:p>
            <w:r>
              <w:t>开发强度</w:t>
            </w:r>
          </w:p>
        </w:tc>
        <w:tc>
          <w:tcPr>
            <w:tcW w:type="dxa" w:w="2880"/>
          </w:tcPr>
          <w:p>
            <w:r>
              <w:t>未提供建筑面积、用地面积、容积率或开发强度分档，当前按保守 1 分临时试算。</w:t>
            </w:r>
          </w:p>
        </w:tc>
      </w:tr>
      <w:tr>
        <w:tc>
          <w:tcPr>
            <w:tcW w:type="dxa" w:w="2880"/>
          </w:tcPr>
          <w:p>
            <w:r>
              <w:t>underground_space</w:t>
            </w:r>
          </w:p>
        </w:tc>
        <w:tc>
          <w:tcPr>
            <w:tcW w:type="dxa" w:w="2880"/>
          </w:tcPr>
          <w:p>
            <w:r>
              <w:t>地下空间</w:t>
            </w:r>
          </w:p>
        </w:tc>
        <w:tc>
          <w:tcPr>
            <w:tcW w:type="dxa" w:w="2880"/>
          </w:tcPr>
          <w:p>
            <w:r>
              <w:t>运营表已识别联通形式：预留接口；但未提供地块地下空间功能、开放属性和接口标高，暂不作为地下空间因子正式赋值。</w:t>
            </w:r>
          </w:p>
        </w:tc>
      </w:tr>
    </w:tbl>
    <w:p>
      <w:pPr>
        <w:pStyle w:val="Heading1"/>
      </w:pPr>
      <w:r>
        <w:t>规则口径说明</w:t>
      </w:r>
    </w:p>
    <w:p>
      <w:r>
        <w:t>本报告按《互联互通智能体研发工作方案0318.pptx》近期目标口径生成；评分口径以20260507反馈和《评价因子赋值明细表.xlsx》为准，旧示例报告仅作章节与表达参考。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