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金家堰邻里中心打分明细</w:t>
      </w:r>
    </w:p>
    <w:p>
      <w:r>
        <w:t>地块编号：6-JJY-2026-001</w:t>
      </w:r>
    </w:p>
    <w:p>
      <w:r>
        <w:t>综合评分（百分制）：62.03分</w:t>
      </w:r>
    </w:p>
    <w:p>
      <w:r>
        <w:t>原始加权分：2.5306 / 4.0795</w:t>
      </w:r>
    </w:p>
    <w:p>
      <w:r>
        <w:t>联通等级：尽连地块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维度</w:t>
            </w:r>
          </w:p>
        </w:tc>
        <w:tc>
          <w:tcPr>
            <w:tcW w:type="dxa" w:w="1080"/>
          </w:tcPr>
          <w:p>
            <w:r>
              <w:t>因子</w:t>
            </w:r>
          </w:p>
        </w:tc>
        <w:tc>
          <w:tcPr>
            <w:tcW w:type="dxa" w:w="1080"/>
          </w:tcPr>
          <w:p>
            <w:r>
              <w:t>选项</w:t>
            </w:r>
          </w:p>
        </w:tc>
        <w:tc>
          <w:tcPr>
            <w:tcW w:type="dxa" w:w="1080"/>
          </w:tcPr>
          <w:p>
            <w:r>
              <w:t>原始分</w:t>
            </w:r>
          </w:p>
        </w:tc>
        <w:tc>
          <w:tcPr>
            <w:tcW w:type="dxa" w:w="1080"/>
          </w:tcPr>
          <w:p>
            <w:r>
              <w:t>权重</w:t>
            </w:r>
          </w:p>
        </w:tc>
        <w:tc>
          <w:tcPr>
            <w:tcW w:type="dxa" w:w="1080"/>
          </w:tcPr>
          <w:p>
            <w:r>
              <w:t>加权分</w:t>
            </w:r>
          </w:p>
        </w:tc>
        <w:tc>
          <w:tcPr>
            <w:tcW w:type="dxa" w:w="1080"/>
          </w:tcPr>
          <w:p>
            <w:r>
              <w:t>来源</w:t>
            </w:r>
          </w:p>
        </w:tc>
        <w:tc>
          <w:tcPr>
            <w:tcW w:type="dxa" w:w="1080"/>
          </w:tcPr>
          <w:p>
            <w:r>
              <w:t>是否假定</w:t>
            </w:r>
          </w:p>
        </w:tc>
      </w:tr>
      <w:tr>
        <w:tc>
          <w:tcPr>
            <w:tcW w:type="dxa" w:w="1080"/>
          </w:tcPr>
          <w:p>
            <w:r>
              <w:t>功能属性</w:t>
            </w:r>
          </w:p>
        </w:tc>
        <w:tc>
          <w:tcPr>
            <w:tcW w:type="dxa" w:w="1080"/>
          </w:tcPr>
          <w:p>
            <w:r>
              <w:t>用地功能</w:t>
            </w:r>
          </w:p>
        </w:tc>
        <w:tc>
          <w:tcPr>
            <w:tcW w:type="dxa" w:w="1080"/>
          </w:tcPr>
          <w:p>
            <w:r>
              <w:t>重要医疗文体设施、综合商业、邻里中心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0.0795</w:t>
            </w:r>
          </w:p>
        </w:tc>
        <w:tc>
          <w:tcPr>
            <w:tcW w:type="dxa" w:w="1080"/>
          </w:tcPr>
          <w:p>
            <w:r>
              <w:t>0.318</w:t>
            </w:r>
          </w:p>
        </w:tc>
        <w:tc>
          <w:tcPr>
            <w:tcW w:type="dxa" w:w="1080"/>
          </w:tcPr>
          <w:p>
            <w:r>
              <w:t>现有输入/预设数据</w:t>
            </w:r>
          </w:p>
        </w:tc>
        <w:tc>
          <w:tcPr>
            <w:tcW w:type="dxa" w:w="1080"/>
          </w:tcPr>
          <w:p>
            <w:r>
              <w:t>否</w:t>
            </w:r>
          </w:p>
        </w:tc>
      </w:tr>
      <w:tr>
        <w:tc>
          <w:tcPr>
            <w:tcW w:type="dxa" w:w="1080"/>
          </w:tcPr>
          <w:p>
            <w:r>
              <w:t>功能属性</w:t>
            </w:r>
          </w:p>
        </w:tc>
        <w:tc>
          <w:tcPr>
            <w:tcW w:type="dxa" w:w="1080"/>
          </w:tcPr>
          <w:p>
            <w:r>
              <w:t>开发强度</w:t>
            </w:r>
          </w:p>
        </w:tc>
        <w:tc>
          <w:tcPr>
            <w:tcW w:type="dxa" w:w="1080"/>
          </w:tcPr>
          <w:p>
            <w:r>
              <w:t>建筑面积 3 万-10 万平方米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0.3393</w:t>
            </w:r>
          </w:p>
        </w:tc>
        <w:tc>
          <w:tcPr>
            <w:tcW w:type="dxa" w:w="1080"/>
          </w:tcPr>
          <w:p>
            <w:r>
              <w:t>1.0179</w:t>
            </w:r>
          </w:p>
        </w:tc>
        <w:tc>
          <w:tcPr>
            <w:tcW w:type="dxa" w:w="1080"/>
          </w:tcPr>
          <w:p>
            <w:r>
              <w:t>现有输入/预设数据</w:t>
            </w:r>
          </w:p>
        </w:tc>
        <w:tc>
          <w:tcPr>
            <w:tcW w:type="dxa" w:w="1080"/>
          </w:tcPr>
          <w:p>
            <w:r>
              <w:t>否</w:t>
            </w:r>
          </w:p>
        </w:tc>
      </w:tr>
      <w:tr>
        <w:tc>
          <w:tcPr>
            <w:tcW w:type="dxa" w:w="1080"/>
          </w:tcPr>
          <w:p>
            <w:r>
              <w:t>区位属性</w:t>
            </w:r>
          </w:p>
        </w:tc>
        <w:tc>
          <w:tcPr>
            <w:tcW w:type="dxa" w:w="1080"/>
          </w:tcPr>
          <w:p>
            <w:r>
              <w:t>区位能级</w:t>
            </w:r>
          </w:p>
        </w:tc>
        <w:tc>
          <w:tcPr>
            <w:tcW w:type="dxa" w:w="1080"/>
          </w:tcPr>
          <w:p>
            <w:r>
              <w:t>社区级中心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0.1407</w:t>
            </w:r>
          </w:p>
        </w:tc>
        <w:tc>
          <w:tcPr>
            <w:tcW w:type="dxa" w:w="1080"/>
          </w:tcPr>
          <w:p>
            <w:r>
              <w:t>0.2814</w:t>
            </w:r>
          </w:p>
        </w:tc>
        <w:tc>
          <w:tcPr>
            <w:tcW w:type="dxa" w:w="1080"/>
          </w:tcPr>
          <w:p>
            <w:r>
              <w:t>现有输入/预设数据</w:t>
            </w:r>
          </w:p>
        </w:tc>
        <w:tc>
          <w:tcPr>
            <w:tcW w:type="dxa" w:w="1080"/>
          </w:tcPr>
          <w:p>
            <w:r>
              <w:t>否</w:t>
            </w:r>
          </w:p>
        </w:tc>
      </w:tr>
      <w:tr>
        <w:tc>
          <w:tcPr>
            <w:tcW w:type="dxa" w:w="1080"/>
          </w:tcPr>
          <w:p>
            <w:r>
              <w:t>交通属性</w:t>
            </w:r>
          </w:p>
        </w:tc>
        <w:tc>
          <w:tcPr>
            <w:tcW w:type="dxa" w:w="1080"/>
          </w:tcPr>
          <w:p>
            <w:r>
              <w:t>出行客流</w:t>
            </w:r>
          </w:p>
        </w:tc>
        <w:tc>
          <w:tcPr>
            <w:tcW w:type="dxa" w:w="1080"/>
          </w:tcPr>
          <w:p>
            <w:r>
              <w:t>日均进站量小于 2500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0.2535</w:t>
            </w:r>
          </w:p>
        </w:tc>
        <w:tc>
          <w:tcPr>
            <w:tcW w:type="dxa" w:w="1080"/>
          </w:tcPr>
          <w:p>
            <w:r>
              <w:t>0.2535</w:t>
            </w:r>
          </w:p>
        </w:tc>
        <w:tc>
          <w:tcPr>
            <w:tcW w:type="dxa" w:w="1080"/>
          </w:tcPr>
          <w:p>
            <w:r>
              <w:t>每站每月日均进站.xlsx：2025-11日均进站</w:t>
            </w:r>
          </w:p>
        </w:tc>
        <w:tc>
          <w:tcPr>
            <w:tcW w:type="dxa" w:w="1080"/>
          </w:tcPr>
          <w:p>
            <w:r>
              <w:t>否</w:t>
            </w:r>
          </w:p>
        </w:tc>
      </w:tr>
      <w:tr>
        <w:tc>
          <w:tcPr>
            <w:tcW w:type="dxa" w:w="1080"/>
          </w:tcPr>
          <w:p>
            <w:r>
              <w:t>交通属性</w:t>
            </w:r>
          </w:p>
        </w:tc>
        <w:tc>
          <w:tcPr>
            <w:tcW w:type="dxa" w:w="1080"/>
          </w:tcPr>
          <w:p>
            <w:r>
              <w:t>高效换乘</w:t>
            </w:r>
          </w:p>
        </w:tc>
        <w:tc>
          <w:tcPr>
            <w:tcW w:type="dxa" w:w="1080"/>
          </w:tcPr>
          <w:p>
            <w:r>
              <w:t>一般站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0.0441</w:t>
            </w:r>
          </w:p>
        </w:tc>
        <w:tc>
          <w:tcPr>
            <w:tcW w:type="dxa" w:w="1080"/>
          </w:tcPr>
          <w:p>
            <w:r>
              <w:t>0.0882</w:t>
            </w:r>
          </w:p>
        </w:tc>
        <w:tc>
          <w:tcPr>
            <w:tcW w:type="dxa" w:w="1080"/>
          </w:tcPr>
          <w:p>
            <w:r>
              <w:t>现有输入/预设数据</w:t>
            </w:r>
          </w:p>
        </w:tc>
        <w:tc>
          <w:tcPr>
            <w:tcW w:type="dxa" w:w="1080"/>
          </w:tcPr>
          <w:p>
            <w:r>
              <w:t>否</w:t>
            </w:r>
          </w:p>
        </w:tc>
      </w:tr>
      <w:tr>
        <w:tc>
          <w:tcPr>
            <w:tcW w:type="dxa" w:w="1080"/>
          </w:tcPr>
          <w:p>
            <w:r>
              <w:t>地下属性</w:t>
            </w:r>
          </w:p>
        </w:tc>
        <w:tc>
          <w:tcPr>
            <w:tcW w:type="dxa" w:w="1080"/>
          </w:tcPr>
          <w:p>
            <w:r>
              <w:t>地下空间</w:t>
            </w:r>
          </w:p>
        </w:tc>
        <w:tc>
          <w:tcPr>
            <w:tcW w:type="dxa" w:w="1080"/>
          </w:tcPr>
          <w:p>
            <w:r>
              <w:t>有，功能为商业、公共服务、文体、商业+停车或 P+R 停车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0.1429</w:t>
            </w:r>
          </w:p>
        </w:tc>
        <w:tc>
          <w:tcPr>
            <w:tcW w:type="dxa" w:w="1080"/>
          </w:tcPr>
          <w:p>
            <w:r>
              <w:t>0.5716</w:t>
            </w:r>
          </w:p>
        </w:tc>
        <w:tc>
          <w:tcPr>
            <w:tcW w:type="dxa" w:w="1080"/>
          </w:tcPr>
          <w:p>
            <w:r>
              <w:t>现有输入/预设数据</w:t>
            </w:r>
          </w:p>
        </w:tc>
        <w:tc>
          <w:tcPr>
            <w:tcW w:type="dxa" w:w="1080"/>
          </w:tcPr>
          <w:p>
            <w:r>
              <w:t>否</w:t>
            </w:r>
          </w:p>
        </w:tc>
      </w:tr>
    </w:tbl>
    <w:p>
      <w:pPr>
        <w:pStyle w:val="Heading1"/>
      </w:pPr>
      <w:r>
        <w:t>资料缺项</w:t>
      </w:r>
    </w:p>
    <w:p>
      <w:r>
        <w:t>当前核心评分字段完整，导出前仍建议结合正式设计条件进行人工复核。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