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金家堰邻里中心</w:t>
      </w:r>
    </w:p>
    <w:p>
      <w:r>
        <w:t>地块编号：6-JJY-2026-001</w:t>
      </w:r>
    </w:p>
    <w:p>
      <w:r>
        <w:t>综合评分（百分制）：62.03分</w:t>
      </w:r>
    </w:p>
    <w:p>
      <w:r>
        <w:t>原始加权分：2.5306 / 4.0795</w:t>
      </w:r>
    </w:p>
    <w:p>
      <w:r>
        <w:t>联通等级：尽连地块</w:t>
      </w:r>
    </w:p>
    <w:p>
      <w:r>
        <w:t>推荐方式：地下主通道</w:t>
      </w:r>
    </w:p>
    <w:p>
      <w:r>
        <w:t>数据完整度：6/6</w:t>
      </w:r>
    </w:p>
    <w:p>
      <w:pPr>
        <w:pStyle w:val="Heading1"/>
      </w:pPr>
      <w:r>
        <w:t>评分总览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结果</w:t>
            </w:r>
          </w:p>
        </w:tc>
      </w:tr>
      <w:tr>
        <w:tc>
          <w:tcPr>
            <w:tcW w:type="dxa" w:w="4320"/>
          </w:tcPr>
          <w:p>
            <w:r>
              <w:t>综合评分（百分制）</w:t>
            </w:r>
          </w:p>
        </w:tc>
        <w:tc>
          <w:tcPr>
            <w:tcW w:type="dxa" w:w="4320"/>
          </w:tcPr>
          <w:p>
            <w:r>
              <w:t>62.03分</w:t>
            </w:r>
          </w:p>
        </w:tc>
      </w:tr>
      <w:tr>
        <w:tc>
          <w:tcPr>
            <w:tcW w:type="dxa" w:w="4320"/>
          </w:tcPr>
          <w:p>
            <w:r>
              <w:t>原始加权分</w:t>
            </w:r>
          </w:p>
        </w:tc>
        <w:tc>
          <w:tcPr>
            <w:tcW w:type="dxa" w:w="4320"/>
          </w:tcPr>
          <w:p>
            <w:r>
              <w:t>2.5306 / 4.0795</w:t>
            </w:r>
          </w:p>
        </w:tc>
      </w:tr>
      <w:tr>
        <w:tc>
          <w:tcPr>
            <w:tcW w:type="dxa" w:w="4320"/>
          </w:tcPr>
          <w:p>
            <w:r>
              <w:t>联通等级</w:t>
            </w:r>
          </w:p>
        </w:tc>
        <w:tc>
          <w:tcPr>
            <w:tcW w:type="dxa" w:w="4320"/>
          </w:tcPr>
          <w:p>
            <w:r>
              <w:t>尽连地块</w:t>
            </w:r>
          </w:p>
        </w:tc>
      </w:tr>
      <w:tr>
        <w:tc>
          <w:tcPr>
            <w:tcW w:type="dxa" w:w="4320"/>
          </w:tcPr>
          <w:p>
            <w:r>
              <w:t>推荐方式</w:t>
            </w:r>
          </w:p>
        </w:tc>
        <w:tc>
          <w:tcPr>
            <w:tcW w:type="dxa" w:w="4320"/>
          </w:tcPr>
          <w:p>
            <w:r>
              <w:t>地下主通道</w:t>
            </w:r>
          </w:p>
        </w:tc>
      </w:tr>
      <w:tr>
        <w:tc>
          <w:tcPr>
            <w:tcW w:type="dxa" w:w="4320"/>
          </w:tcPr>
          <w:p>
            <w:r>
              <w:t>数据完整度</w:t>
            </w:r>
          </w:p>
        </w:tc>
        <w:tc>
          <w:tcPr>
            <w:tcW w:type="dxa" w:w="4320"/>
          </w:tcPr>
          <w:p>
            <w:r>
              <w:t>6/6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评分维度</w:t>
            </w:r>
          </w:p>
        </w:tc>
        <w:tc>
          <w:tcPr>
            <w:tcW w:type="dxa" w:w="1728"/>
          </w:tcPr>
          <w:p>
            <w:r>
              <w:t>加权得分</w:t>
            </w:r>
          </w:p>
        </w:tc>
        <w:tc>
          <w:tcPr>
            <w:tcW w:type="dxa" w:w="1728"/>
          </w:tcPr>
          <w:p>
            <w:r>
              <w:t>主要因子取值</w:t>
            </w:r>
          </w:p>
        </w:tc>
        <w:tc>
          <w:tcPr>
            <w:tcW w:type="dxa" w:w="1728"/>
          </w:tcPr>
          <w:p>
            <w:r>
              <w:t>来源依据</w:t>
            </w:r>
          </w:p>
        </w:tc>
        <w:tc>
          <w:tcPr>
            <w:tcW w:type="dxa" w:w="1728"/>
          </w:tcPr>
          <w:p>
            <w:r>
              <w:t>说明</w:t>
            </w:r>
          </w:p>
        </w:tc>
      </w:tr>
      <w:tr>
        <w:tc>
          <w:tcPr>
            <w:tcW w:type="dxa" w:w="1728"/>
          </w:tcPr>
          <w:p>
            <w:r>
              <w:t>功能属性</w:t>
            </w:r>
          </w:p>
        </w:tc>
        <w:tc>
          <w:tcPr>
            <w:tcW w:type="dxa" w:w="1728"/>
          </w:tcPr>
          <w:p>
            <w:r>
              <w:t>1.3359</w:t>
            </w:r>
          </w:p>
        </w:tc>
        <w:tc>
          <w:tcPr>
            <w:tcW w:type="dxa" w:w="1728"/>
          </w:tcPr>
          <w:p>
            <w:r>
              <w:t>用地功能：重要医疗文体设施、综合商业、邻里中心（0.3180）；开发强度：建筑面积 3 万-10 万平方米（1.0179）</w:t>
            </w:r>
          </w:p>
        </w:tc>
        <w:tc>
          <w:tcPr>
            <w:tcW w:type="dxa" w:w="1728"/>
          </w:tcPr>
          <w:p>
            <w:r>
              <w:t>用地功能：现有输入/预设数据；开发强度：现有输入/预设数据</w:t>
            </w:r>
          </w:p>
        </w:tc>
        <w:tc>
          <w:tcPr>
            <w:tcW w:type="dxa" w:w="1728"/>
          </w:tcPr>
          <w:p>
            <w:r>
              <w:t>核心字段已取值</w:t>
            </w:r>
          </w:p>
        </w:tc>
      </w:tr>
      <w:tr>
        <w:tc>
          <w:tcPr>
            <w:tcW w:type="dxa" w:w="1728"/>
          </w:tcPr>
          <w:p>
            <w:r>
              <w:t>区位属性</w:t>
            </w:r>
          </w:p>
        </w:tc>
        <w:tc>
          <w:tcPr>
            <w:tcW w:type="dxa" w:w="1728"/>
          </w:tcPr>
          <w:p>
            <w:r>
              <w:t>0.2814</w:t>
            </w:r>
          </w:p>
        </w:tc>
        <w:tc>
          <w:tcPr>
            <w:tcW w:type="dxa" w:w="1728"/>
          </w:tcPr>
          <w:p>
            <w:r>
              <w:t>区位能级：社区级中心（0.2814）</w:t>
            </w:r>
          </w:p>
        </w:tc>
        <w:tc>
          <w:tcPr>
            <w:tcW w:type="dxa" w:w="1728"/>
          </w:tcPr>
          <w:p>
            <w:r>
              <w:t>区位能级：现有输入/预设数据</w:t>
            </w:r>
          </w:p>
        </w:tc>
        <w:tc>
          <w:tcPr>
            <w:tcW w:type="dxa" w:w="1728"/>
          </w:tcPr>
          <w:p>
            <w:r>
              <w:t>核心字段已取值</w:t>
            </w:r>
          </w:p>
        </w:tc>
      </w:tr>
      <w:tr>
        <w:tc>
          <w:tcPr>
            <w:tcW w:type="dxa" w:w="1728"/>
          </w:tcPr>
          <w:p>
            <w:r>
              <w:t>交通属性</w:t>
            </w:r>
          </w:p>
        </w:tc>
        <w:tc>
          <w:tcPr>
            <w:tcW w:type="dxa" w:w="1728"/>
          </w:tcPr>
          <w:p>
            <w:r>
              <w:t>0.3417</w:t>
            </w:r>
          </w:p>
        </w:tc>
        <w:tc>
          <w:tcPr>
            <w:tcW w:type="dxa" w:w="1728"/>
          </w:tcPr>
          <w:p>
            <w:r>
              <w:t>出行客流：日均进站量小于 2500（0.2535）；高效换乘：一般站（0.0882）</w:t>
            </w:r>
          </w:p>
        </w:tc>
        <w:tc>
          <w:tcPr>
            <w:tcW w:type="dxa" w:w="1728"/>
          </w:tcPr>
          <w:p>
            <w:r>
              <w:t>出行客流：每站每月日均进站.xlsx：2025-11日均进站；高效换乘：现有输入/预设数据</w:t>
            </w:r>
          </w:p>
        </w:tc>
        <w:tc>
          <w:tcPr>
            <w:tcW w:type="dxa" w:w="1728"/>
          </w:tcPr>
          <w:p>
            <w:r>
              <w:t>核心字段已取值</w:t>
            </w:r>
          </w:p>
        </w:tc>
      </w:tr>
      <w:tr>
        <w:tc>
          <w:tcPr>
            <w:tcW w:type="dxa" w:w="1728"/>
          </w:tcPr>
          <w:p>
            <w:r>
              <w:t>地下属性</w:t>
            </w:r>
          </w:p>
        </w:tc>
        <w:tc>
          <w:tcPr>
            <w:tcW w:type="dxa" w:w="1728"/>
          </w:tcPr>
          <w:p>
            <w:r>
              <w:t>0.5716</w:t>
            </w:r>
          </w:p>
        </w:tc>
        <w:tc>
          <w:tcPr>
            <w:tcW w:type="dxa" w:w="1728"/>
          </w:tcPr>
          <w:p>
            <w:r>
              <w:t>地下空间：有，功能为商业、公共服务、文体、商业+停车或 P+R 停车（0.5716）</w:t>
            </w:r>
          </w:p>
        </w:tc>
        <w:tc>
          <w:tcPr>
            <w:tcW w:type="dxa" w:w="1728"/>
          </w:tcPr>
          <w:p>
            <w:r>
              <w:t>地下空间：现有输入/预设数据</w:t>
            </w:r>
          </w:p>
        </w:tc>
        <w:tc>
          <w:tcPr>
            <w:tcW w:type="dxa" w:w="1728"/>
          </w:tcPr>
          <w:p>
            <w:r>
              <w:t>核心字段已取值</w:t>
            </w:r>
          </w:p>
        </w:tc>
      </w:tr>
    </w:tbl>
    <w:p>
      <w:pPr>
        <w:pStyle w:val="Heading1"/>
      </w:pPr>
      <w:r>
        <w:t>推荐方案与备选方案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名称</w:t>
            </w:r>
          </w:p>
        </w:tc>
        <w:tc>
          <w:tcPr>
            <w:tcW w:type="dxa" w:w="2160"/>
          </w:tcPr>
          <w:p>
            <w:r>
              <w:t>类别</w:t>
            </w:r>
          </w:p>
        </w:tc>
        <w:tc>
          <w:tcPr>
            <w:tcW w:type="dxa" w:w="2160"/>
          </w:tcPr>
          <w:p>
            <w:r>
              <w:t>核心适用场景</w:t>
            </w:r>
          </w:p>
        </w:tc>
      </w:tr>
      <w:tr>
        <w:tc>
          <w:tcPr>
            <w:tcW w:type="dxa" w:w="2160"/>
          </w:tcPr>
          <w:p>
            <w:r>
              <w:t>推荐</w:t>
            </w:r>
          </w:p>
        </w:tc>
        <w:tc>
          <w:tcPr>
            <w:tcW w:type="dxa" w:w="2160"/>
          </w:tcPr>
          <w:p>
            <w:r>
              <w:t>地下主通道</w:t>
            </w:r>
          </w:p>
        </w:tc>
        <w:tc>
          <w:tcPr>
            <w:tcW w:type="dxa" w:w="2160"/>
          </w:tcPr>
          <w:p>
            <w:r>
              <w:t>地下联通</w:t>
            </w:r>
          </w:p>
        </w:tc>
        <w:tc>
          <w:tcPr>
            <w:tcW w:type="dxa" w:w="2160"/>
          </w:tcPr>
          <w:p>
            <w:r>
              <w:t>必连地块、尽连地块、商业公服、交通枢纽、地下公共空间</w:t>
            </w:r>
          </w:p>
        </w:tc>
      </w:tr>
      <w:tr>
        <w:tc>
          <w:tcPr>
            <w:tcW w:type="dxa" w:w="2160"/>
          </w:tcPr>
          <w:p>
            <w:r>
              <w:t>备选</w:t>
            </w:r>
          </w:p>
        </w:tc>
        <w:tc>
          <w:tcPr>
            <w:tcW w:type="dxa" w:w="2160"/>
          </w:tcPr>
          <w:p>
            <w:r>
              <w:t>地下次通道</w:t>
            </w:r>
          </w:p>
        </w:tc>
        <w:tc>
          <w:tcPr>
            <w:tcW w:type="dxa" w:w="2160"/>
          </w:tcPr>
          <w:p>
            <w:r>
              <w:t>地下联通</w:t>
            </w:r>
          </w:p>
        </w:tc>
        <w:tc>
          <w:tcPr>
            <w:tcW w:type="dxa" w:w="2160"/>
          </w:tcPr>
          <w:p>
            <w:r>
              <w:t>尽连地块、可连地块、停车接驳、接口预留</w:t>
            </w:r>
          </w:p>
        </w:tc>
      </w:tr>
      <w:tr>
        <w:tc>
          <w:tcPr>
            <w:tcW w:type="dxa" w:w="2160"/>
          </w:tcPr>
          <w:p>
            <w:r>
              <w:t>备选</w:t>
            </w:r>
          </w:p>
        </w:tc>
        <w:tc>
          <w:tcPr>
            <w:tcW w:type="dxa" w:w="2160"/>
          </w:tcPr>
          <w:p>
            <w:r>
              <w:t>风雨连廊</w:t>
            </w:r>
          </w:p>
        </w:tc>
        <w:tc>
          <w:tcPr>
            <w:tcW w:type="dxa" w:w="2160"/>
          </w:tcPr>
          <w:p>
            <w:r>
              <w:t>地面联通</w:t>
            </w:r>
          </w:p>
        </w:tc>
        <w:tc>
          <w:tcPr>
            <w:tcW w:type="dxa" w:w="2160"/>
          </w:tcPr>
          <w:p>
            <w:r>
              <w:t>居住类、学校医院、青年公寓、社区公服、无地下公共空间</w:t>
            </w:r>
          </w:p>
        </w:tc>
      </w:tr>
    </w:tbl>
    <w:p>
      <w:pPr>
        <w:pStyle w:val="Heading1"/>
      </w:pPr>
      <w:r>
        <w:t>1. 项目概况</w:t>
      </w:r>
    </w:p>
    <w:p>
      <w:r>
        <w:t>金家堰邻里中心位于金家堰周边，地块位置为金堰路东、东宏路北，处于200m核心开发区范围。对应站点线路为6，TOD能级为组团级TOD。地块用地及业态为商业用地，用地面积约25000平方米，建筑面积约90000平方米，地下空间条件为有地下室，地下2层，包含停车、设备用房及公共服务/商业配套空间。站点侧现有出入口约4个，已识别联通形式为地下通道、预留接口，日均进站客流为686人次/日。周边服务对象包括人大附中苏州学校、仁恒华发雅苑（在建中未开放）、月上海棠轩（在建中未开放）、玉皇宫，具备从站点接驳、社区服务、商业引流和公共空间连续性等方面开展联通论证的基础。 客流判断影响：已匹配每站每月日均进站.xlsx：2025-11日均进站，日均进站约686人次/日；该指标用于判断联通设施的服务强度、全天候接驳必要性、通道宽度弹性和高峰组织压力，但不单独决定是否联通，仍需与站点能级、周边功能、接口成熟度和实施条件共同研判。预测客流补充：已匹配0528既有线路客流预测数据.xls（6号线），2033年预测上车12588人次、下车12554人次；2048年预测上车24017人次、下车24303人次；方向样本：由西向东。该数据为未来全日客流预测，仅用于研判远期通道弹性、接口预留和客流方向组织，不作为当前实测日均进站值。</w:t>
      </w:r>
    </w:p>
    <w:p>
      <w:pPr>
        <w:pStyle w:val="Heading1"/>
      </w:pPr>
      <w:r>
        <w:t>2. 联通必要性评估结论</w:t>
      </w:r>
    </w:p>
    <w:p>
      <w:r>
        <w:t>按既定评价因子和权重计算，项目综合评分为62.03分，判定为尽连地块。该等级对应的管控建议为：必要性次之，应尽量联通；优先推动接口条件、建设协同和方案比选。结合本项目业态、站点服务范围、地下空间条件和地下联通商业公服标杆特征，本次建议以地下主通道作为主要联通方式，并同步保留备选方案和接口预留条件。从案例经验看，地下联通商业公服标杆提示本项目不能只看客流大小，还要看服务对象、接口成熟度、全天候通行和后续运营分界。该结论不以单一客流指标作为判断依据，而是综合考虑公共服务属性、站点可达性、工程接口、全天候通行需求和建设协同条件。 模型综合规则基线、站点资料、知识库证据和标杆案例后，给出的主结论为尽连地块，推荐方式为地下主通道，置信度约为0.78。模型判断理由为：系统以规则评分作为不可变底座，并匹配“地下联通商业公服标杆”进行本地增强研判。当前结论可用于预评估和提资清单生成；模型或实时搜索可用时可补强外部案例、最新规划和专项风险。规则基线为尽连地块/地下主通道，模型结论为尽连地块/地下主通道。差异状态为aligned，复核标签包括依据充分、依据充分。模型可以覆盖规则口径，但不得把缺失的接口标高、消防分区、产权界面或管线条件写成已确认事实；相关内容均按需复核或模型推断处理。 正向支撑方面：地块位于车站核心影响范围内，业态具有综合性社区邻里中心特征，与轨道交通接驳存在稳定需求；项目地下空间、站点接口或地面接驳条件为联通方案提供了基础；评分维度显示功能属性得分1.3359；区位属性得分0.2814；交通属性得分0.3417；地下属性得分0.5716，其中公共功能、接驳需求和空间条件共同支撑联通必要性。风险约束因素方面：当前核心评分字段较完整，后续仍需结合工程资料复核。此外，接口标高、消防分区、运营管理、权属边界、管线迁改和建设时序仍需在深化阶段专项复核。 客流判断影响：已匹配每站每月日均进站.xlsx：2025-11日均进站，日均进站约686人次/日；该指标用于判断联通设施的服务强度、全天候接驳必要性、通道宽度弹性和高峰组织压力，但不单独决定是否联通，仍需与站点能级、周边功能、接口成熟度和实施条件共同研判。预测客流补充：已匹配0528既有线路客流预测数据.xls（6号线），2033年预测上车12588人次、下车12554人次；2048年预测上车24017人次、下车24303人次；方向样本：由西向东。该数据为未来全日客流预测，仅用于研判远期通道弹性、接口预留和客流方向组织，不作为当前实测日均进站值。</w:t>
      </w:r>
    </w:p>
    <w:p>
      <w:pPr>
        <w:pStyle w:val="Heading1"/>
      </w:pPr>
      <w:r>
        <w:t>3. 联通方式比选与推荐方案</w:t>
      </w:r>
    </w:p>
    <w:p>
      <w:r>
        <w:t>推荐方案：地下主通道。适用判断：地下主通道属于地下联通，适用于必连地块、尽连地块、商业公服、交通枢纽、地下公共空间；需回避或重点复核无地下空间、接口条件不足、历史保护或地下遗址限制未论证。推荐理由为：地块公共属性较强且具备实施条件，优先推动地下通道连通。备选方案1：地下次通道属于地下联通，适用于尽连地块、可连地块、停车接驳、接口预留；需回避或重点复核地下空间缺失、工程经济性明显不足。；备选方案2：风雨连廊属于地面联通，适用于居住类、学校医院、青年公寓、社区公服、无地下公共空间；需回避或重点复核人行道净宽不足、风貌管控严格且未论证。。综合比较，推荐方案更能兼顾全天候接驳、公共服务可达性、客流组织效率和远期站城融合弹性；备选方案可在投资、接口、风貌或工程条件变化时作为调整路径。 建议以1号出入口对应站厅层非付费区或预留接口为起点，以金堰路东、东宏路北地下一层公共空间/公共中庭为终点，通道路径宜短直组织，优先衔接车站非付费区、地块地下公共空间和垂直交通节点。采用通行兼集散复合功能，可结合地下商业、公服或停车人流组织设置集散节点。方案应同步处理车站客流、地块人流、停车人流和公共服务人群的组织关系，避免通行流线与私密空间、设备空间或运营边界发生冲突。重点复核车站接口、有地下室，地下2层，包含停车、设备用房及公共服务/商业配套空间、防火分隔、防水节点和运营管理界面。</w:t>
      </w:r>
    </w:p>
    <w:p>
      <w:pPr>
        <w:pStyle w:val="Heading1"/>
      </w:pPr>
      <w:r>
        <w:t>4. 方案设计核心技术要求</w:t>
      </w:r>
    </w:p>
    <w:p>
      <w:r>
        <w:t>空间尺度方面，通行功能净宽不小于5.0m，净高不小于3.0m；兼具休憩或商业服务功能时净高宜不小于3.5m。平面组织应坚持路径短直、导向清晰、节点可识别的原则，起终点应设置必要集散空间，避免客流交叉拥堵。消防与安全方面，应同步校核防火分区、排烟、疏散距离、应急照明、视频监控和紧急报警条件。无障碍方面，应保证轮椅通行、坡道坡度、盲道衔接、扶手设置和全年龄友好通行。导向与运营方面，应统一车站、通道和地块标识系统，明确开放时段、维护责任、安防管理和突发事件联动机制。 技术深化阶段应把客流判断影响转化为通道宽度、节点集散、导向标识、照明、无障碍、电扶梯或坡道组织等可校核指标。</w:t>
      </w:r>
    </w:p>
    <w:p>
      <w:pPr>
        <w:pStyle w:val="Heading1"/>
      </w:pPr>
      <w:r>
        <w:t>5. 合规性校验说明</w:t>
      </w:r>
    </w:p>
    <w:p>
      <w:r>
        <w:t>后续方案深化应对照城市轨道交通、建筑防火、无障碍、地下空间、步行系统和地方站城融合导则进行合规校核。地下联通方案重点校核地铁设计、防火分隔、防水、人防兼容、通风排烟和运营安全；地面或空中方案重点校核人行净宽、结构安全、桥下净空、城市风貌、排水照明和无障碍连续性。所有控制指标应满足国家及苏州市相关规范的强制性要求，不得以商业植入或空间装饰削弱基本通行、消防和疏散功能。 古城保护与历史文化保护：当前结构化数据未接入权威古城保护范围、历史文化街区、文物保护单位和建设控制地带图层，因此本报告将其列为人工复核项；若后续核实项目位于苏州历史文化名城或古城保护相关范围内，应补充风貌、控高、地下空间和施工扰动专项论证。 轨道交通保护区与安全保护区提示：涉及车站、区间、附属结构、出入口和地下连通空间时，应核对轨道交通保护区、安全保护区及运营安全边界，明确结构安全、沉降控制、施工监测、接口封堵、防水和运营维保责任。消防与疏散提示：地下或半地下连通空间必须同步校核防火分区、排烟、应急照明、疏散距离、疏散宽度、无障碍连续性和管理界面，不得以商业展示、装修或导流需求削弱基本安全功能。</w:t>
      </w:r>
    </w:p>
    <w:p>
      <w:pPr>
        <w:pStyle w:val="Heading1"/>
      </w:pPr>
      <w:r>
        <w:t>6. 设计优化与实施建议</w:t>
      </w:r>
    </w:p>
    <w:p>
      <w:r>
        <w:t>近期建议先稳定接口边界、接驳路径和资料补齐清单，优先完成出入口位置、接口标高、地下空间平面、管线权属和建设时序核查。中期建议结合地块方案深化，同步开展联通工程可行性、投资估算、消防专项、运营分界和交通组织比选。远期建议将联通空间纳入站城一体化运营管理，结合导向标识、智慧客流、便民设施、公共艺术和社区服务功能提升空间品质。如项目暂不具备一次实施条件，应预留结构接口、防水节点、标识接口和地面衔接条件，避免后期改造成本过高。 本阶段需重点补齐和复核：当前核心评分字段较完整，后续仍需结合工程资料复核。同时建议开展现场踏勘，核实出入口集散空间、人行道宽度、地下管线、道路红线、地块边界、既有构筑物、消防登高面和施工组织条件。补齐资料后应重新运行评分，并对等级、推荐方式、通道尺度和实施时序变化进行差异说明。 资料补齐要求：当前核心评分字段较完整，后续仍需结合工程资料复核。</w:t>
      </w:r>
    </w:p>
    <w:p>
      <w:pPr>
        <w:pStyle w:val="Heading1"/>
      </w:pPr>
      <w:r>
        <w:t>7. 意向效果图输出指引</w:t>
      </w:r>
    </w:p>
    <w:p>
      <w:r>
        <w:t>建议输出地下通道与地块地下一层公共空间衔接示意图，重点表达站厅非付费区接口、通道路径、集散节点、防火分隔和垂直交通。图面应同时表达站点、出入口、目标地块、主要人流方向、推荐联通路径、备选路径、接口节点和需复核边界。对于汇报场景，可采用“现状关系图 + 推荐方案图 + 节点剖面/轴测示意”的组合，突出方案的可达性、可实施性和空间品质提升效果。 出图时应同步标注客流主方向、站厅非付费区接口、轨道交通保护区或安全保护区复核边界、消防疏散路径、无障碍连续路径、近期可实施范围和远期预留接口；如涉及古城保护或历史文化风貌敏感范围，应在图面中单独标出需人工复核的控制线和说明文字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