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 w:eastAsia="微软雅黑"/>
          <w:b/>
          <w:color w:val="1F4E79"/>
          <w:sz w:val="48"/>
        </w:rPr>
        <w:t>互联互通智能体</w:t>
      </w:r>
    </w:p>
    <w:p>
      <w:pPr>
        <w:jc w:val="center"/>
      </w:pPr>
      <w:r>
        <w:rPr>
          <w:rFonts w:ascii="Calibri" w:hAnsi="Calibri" w:eastAsia="微软雅黑"/>
          <w:b/>
          <w:color w:val="1F4E79"/>
          <w:sz w:val="44"/>
        </w:rPr>
        <w:t>运营维护及算力费用估算报告</w:t>
      </w:r>
    </w:p>
    <w:p>
      <w:pPr>
        <w:spacing w:before="160"/>
        <w:jc w:val="center"/>
      </w:pPr>
      <w:r>
        <w:rPr>
          <w:rFonts w:ascii="Calibri" w:hAnsi="Calibri" w:eastAsia="微软雅黑"/>
          <w:b w:val="0"/>
          <w:color w:val="555555"/>
          <w:sz w:val="28"/>
        </w:rPr>
        <w:t>立项汇报版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381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3F8"/>
          </w:tcPr>
          <w:p>
            <w:r>
              <w:rPr>
                <w:rFonts w:ascii="Calibri" w:hAnsi="Calibri" w:eastAsia="微软雅黑"/>
                <w:b/>
                <w:color w:val="1F4E79"/>
                <w:sz w:val="21"/>
              </w:rPr>
              <w:t>项目名称</w:t>
            </w:r>
          </w:p>
        </w:tc>
        <w:tc>
          <w:tcPr>
            <w:tcW w:type="dxa" w:w="498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苏州轨道交通站点周边互联互通智能体</w:t>
            </w:r>
          </w:p>
        </w:tc>
      </w:tr>
      <w:tr>
        <w:tc>
          <w:tcPr>
            <w:tcW w:type="dxa" w:w="2381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3F8"/>
          </w:tcPr>
          <w:p>
            <w:r>
              <w:rPr>
                <w:rFonts w:ascii="Calibri" w:hAnsi="Calibri" w:eastAsia="微软雅黑"/>
                <w:b/>
                <w:color w:val="1F4E79"/>
                <w:sz w:val="21"/>
              </w:rPr>
              <w:t>报告用途</w:t>
            </w:r>
          </w:p>
        </w:tc>
        <w:tc>
          <w:tcPr>
            <w:tcW w:type="dxa" w:w="498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立项汇报、年度运营维护费用测算</w:t>
            </w:r>
          </w:p>
        </w:tc>
      </w:tr>
      <w:tr>
        <w:tc>
          <w:tcPr>
            <w:tcW w:type="dxa" w:w="2381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3F8"/>
          </w:tcPr>
          <w:p>
            <w:r>
              <w:rPr>
                <w:rFonts w:ascii="Calibri" w:hAnsi="Calibri" w:eastAsia="微软雅黑"/>
                <w:b/>
                <w:color w:val="1F4E79"/>
                <w:sz w:val="21"/>
              </w:rPr>
              <w:t>估算期间</w:t>
            </w:r>
          </w:p>
        </w:tc>
        <w:tc>
          <w:tcPr>
            <w:tcW w:type="dxa" w:w="498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运营后第一年</w:t>
            </w:r>
          </w:p>
        </w:tc>
      </w:tr>
      <w:tr>
        <w:tc>
          <w:tcPr>
            <w:tcW w:type="dxa" w:w="2381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3F8"/>
          </w:tcPr>
          <w:p>
            <w:r>
              <w:rPr>
                <w:rFonts w:ascii="Calibri" w:hAnsi="Calibri" w:eastAsia="微软雅黑"/>
                <w:b/>
                <w:color w:val="1F4E79"/>
                <w:sz w:val="21"/>
              </w:rPr>
              <w:t>版本日期</w:t>
            </w:r>
          </w:p>
        </w:tc>
        <w:tc>
          <w:tcPr>
            <w:tcW w:type="dxa" w:w="498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2026 年 5 月 18 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184"/>
            <w:shd w:fill="F4F8FB"/>
            <w:tcBorders>
              <w:top w:val="single" w:sz="8" w:space="0" w:color="A8C4DC"/>
              <w:left w:val="single" w:sz="8" w:space="0" w:color="A8C4DC"/>
              <w:bottom w:val="single" w:sz="8" w:space="0" w:color="A8C4DC"/>
              <w:right w:val="single" w:sz="8" w:space="0" w:color="A8C4DC"/>
              <w:insideH w:val="single" w:sz="8" w:space="0" w:color="A8C4DC"/>
              <w:insideV w:val="single" w:sz="8" w:space="0" w:color="A8C4D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E79"/>
                <w:sz w:val="23"/>
              </w:rPr>
              <w:t>汇报主口径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第一年可明确测算的直接资源及接口费用建议按 1-6 万元/年预留；人工运维、数据维护、报告模板优化、培训及专项支持等服务类费用不做固定金额估算，按后续明确的服务范围和协作机制另行协定。</w:t>
            </w:r>
          </w:p>
        </w:tc>
      </w:tr>
    </w:tbl>
    <w:p>
      <w:r>
        <w:br w:type="page"/>
      </w:r>
    </w:p>
    <w:p>
      <w:pPr>
        <w:pStyle w:val="Heading1"/>
        <w:keepNext/>
      </w:pPr>
      <w:r/>
      <w:r>
        <w:rPr>
          <w:rFonts w:ascii="Calibri" w:hAnsi="Calibri" w:eastAsia="微软雅黑"/>
          <w:b/>
          <w:color w:val="1F4E79"/>
          <w:sz w:val="32"/>
        </w:rPr>
        <w:t>一、结论口径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184"/>
            <w:shd w:fill="F4F8FB"/>
            <w:tcBorders>
              <w:top w:val="single" w:sz="8" w:space="0" w:color="A8C4DC"/>
              <w:left w:val="single" w:sz="8" w:space="0" w:color="A8C4DC"/>
              <w:bottom w:val="single" w:sz="8" w:space="0" w:color="A8C4DC"/>
              <w:right w:val="single" w:sz="8" w:space="0" w:color="A8C4DC"/>
              <w:insideH w:val="single" w:sz="8" w:space="0" w:color="A8C4DC"/>
              <w:insideV w:val="single" w:sz="8" w:space="0" w:color="A8C4D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E79"/>
                <w:sz w:val="23"/>
              </w:rPr>
              <w:t>建议写法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21"/>
              </w:rPr>
              <w:t>本项目第一年不建议自建 GPU 算力，建议采用“集团内网资源优先、外部云资源备选、模型 API 按量调用”的方式。可明确测算的直接资源及接口费用建议按 1-6 万元/年预留；人工运维、数据维护、报告模板优化、培训及专项支持等服务类费用，按后续协定另行确定。</w:t>
            </w:r>
          </w:p>
        </w:tc>
      </w:tr>
    </w:tbl>
    <w:p>
      <w:pPr>
        <w:pStyle w:val="Heading1"/>
        <w:keepNext/>
      </w:pPr>
      <w:r/>
      <w:r>
        <w:rPr>
          <w:rFonts w:ascii="Calibri" w:hAnsi="Calibri" w:eastAsia="微软雅黑"/>
          <w:b/>
          <w:color w:val="1F4E79"/>
          <w:sz w:val="32"/>
        </w:rPr>
        <w:t>二、部署资源费用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部署方式</w:t>
            </w:r>
          </w:p>
        </w:tc>
        <w:tc>
          <w:tcPr>
            <w:tcW w:type="dxa" w:w="4195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资源安排</w:t>
            </w:r>
          </w:p>
        </w:tc>
        <w:tc>
          <w:tcPr>
            <w:tcW w:type="dxa" w:w="3288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费用口径</w:t>
            </w:r>
          </w:p>
        </w:tc>
      </w:tr>
      <w:tr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仅内网使用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优先申请集团或业主既有服务器、存储、备份和网络访问资源；系统部署在内网环境，原则上不新增外部云服务器租赁费用。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不单列服务器租赁费；如需新增内网主机、存储扩容或备份策略，按集团内部资源申请和信息化管理要求办理。</w:t>
            </w:r>
          </w:p>
        </w:tc>
      </w:tr>
      <w:tr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需要外网访问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租用外部云服务器，通常包括 2-4 核 CPU、4-8GB 内存、50-100GB 云盘、备份/快照及必要公网带宽或访问流量。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约 0.5-1.5 万元/年；若需更高安全等级、专线、堡垒机、等保、安全加固或公网流量较大，另行测算。</w:t>
            </w:r>
          </w:p>
        </w:tc>
      </w:tr>
    </w:tbl>
    <w:p/>
    <w:p>
      <w:pPr>
        <w:pStyle w:val="Heading1"/>
        <w:keepNext/>
      </w:pPr>
      <w:r/>
      <w:r>
        <w:rPr>
          <w:rFonts w:ascii="Calibri" w:hAnsi="Calibri" w:eastAsia="微软雅黑"/>
          <w:b/>
          <w:color w:val="1F4E79"/>
          <w:sz w:val="32"/>
        </w:rPr>
        <w:t>三、模型及接口费用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费用项</w:t>
            </w:r>
          </w:p>
        </w:tc>
        <w:tc>
          <w:tcPr>
            <w:tcW w:type="dxa" w:w="5102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说明</w:t>
            </w:r>
          </w:p>
        </w:tc>
        <w:tc>
          <w:tcPr>
            <w:tcW w:type="dxa" w:w="2154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费用口径</w:t>
            </w:r>
          </w:p>
        </w:tc>
      </w:tr>
      <w:tr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大模型 API 调用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用于项目综合研判、报告生成、重点项目重跑；采用通义千问、DeepSeek、Kimi、豆包等可替换模型。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sz w:val="18"/>
              </w:rPr>
              <w:t>约 0.5-2 万元/年</w:t>
            </w:r>
          </w:p>
        </w:tc>
      </w:tr>
      <w:tr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地图/外部搜索接口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用于地图展示、可选联网证据补强；高德等商业授权或专用服务包不包含在内。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sz w:val="18"/>
              </w:rPr>
              <w:t>约 0-1 万元/年</w:t>
            </w:r>
          </w:p>
        </w:tc>
      </w:tr>
      <w:tr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知识库向量化/检索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如启用 Embedding 或向量检索服务，按实际模型和云服务用量计费；仅本地文本检索时可不单列。</w:t>
            </w:r>
          </w:p>
        </w:tc>
        <w:tc>
          <w:tcPr>
            <w:tcW w:type="dxa" w:w="309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sz w:val="18"/>
              </w:rPr>
              <w:t>约 0.1-0.5 万元/年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上述接口费用可通过按量调用、额度封顶、模型分级调用、缓存和备用模型机制控制。模型调用本身不是第一年主要成本来源。</w:t>
      </w:r>
    </w:p>
    <w:p>
      <w:pPr>
        <w:pStyle w:val="Heading1"/>
        <w:keepNext/>
      </w:pPr>
      <w:r/>
      <w:r>
        <w:rPr>
          <w:rFonts w:ascii="Calibri" w:hAnsi="Calibri" w:eastAsia="微软雅黑"/>
          <w:b/>
          <w:color w:val="1F4E79"/>
          <w:sz w:val="32"/>
        </w:rPr>
        <w:t>四、后续协定事项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事项</w:t>
            </w:r>
          </w:p>
        </w:tc>
        <w:tc>
          <w:tcPr>
            <w:tcW w:type="dxa" w:w="6917"/>
            <w:shd w:fill="EEF3F8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建议口径</w:t>
            </w:r>
          </w:p>
        </w:tc>
      </w:tr>
      <w:tr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人工运维服务</w:t>
            </w:r>
          </w:p>
        </w:tc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巡检频次、响应时限、故障处理边界、是否驻场或 SLA 尚未确定，金额按后续协定。</w:t>
            </w:r>
          </w:p>
        </w:tc>
      </w:tr>
      <w:tr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数据与知识库维护</w:t>
            </w:r>
          </w:p>
        </w:tc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站点、客流、TOD、出入口、周边配套、知识库资料的更新频次和责任边界尚未确定，金额按后续协定。</w:t>
            </w:r>
          </w:p>
        </w:tc>
      </w:tr>
      <w:tr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报告模板与规则优化</w:t>
            </w:r>
          </w:p>
        </w:tc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提示词、报告结构、评分解释、导出格式等优化范围需根据试运行反馈确定，金额按后续协定。</w:t>
            </w:r>
          </w:p>
        </w:tc>
      </w:tr>
      <w:tr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培训及专项支持</w:t>
            </w:r>
          </w:p>
        </w:tc>
        <w:tc>
          <w:tcPr>
            <w:tcW w:type="dxa" w:w="4649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  <w:insideH w:val="single" w:sz="6" w:space="0" w:color="B7C9D9"/>
              <w:insideV w:val="single" w:sz="6" w:space="0" w:color="B7C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培训次数、培训对象、汇报前支持和重点项目响应方式尚未确定，金额按后续协定。</w:t>
            </w:r>
          </w:p>
        </w:tc>
      </w:tr>
    </w:tbl>
    <w:p/>
    <w:p>
      <w:pPr>
        <w:pStyle w:val="Heading1"/>
        <w:keepNext/>
      </w:pPr>
      <w:r/>
      <w:r>
        <w:rPr>
          <w:rFonts w:ascii="Calibri" w:hAnsi="Calibri" w:eastAsia="微软雅黑"/>
          <w:b/>
          <w:color w:val="1F4E79"/>
          <w:sz w:val="32"/>
        </w:rPr>
        <w:t>五、立项材料建议表述</w:t>
      </w:r>
    </w:p>
    <w:p>
      <w:r>
        <w:rPr>
          <w:rFonts w:ascii="Calibri" w:hAnsi="Calibri" w:eastAsia="微软雅黑"/>
          <w:b w:val="0"/>
          <w:sz w:val="22"/>
        </w:rPr>
        <w:t>系统运营后第一年可明确测算的费用主要包括部署资源、模型接口、地图/搜索接口和可选知识库向量化服务。若系统仅在集团内网使用，服务器、存储和备份资源建议优先通过集团内部资源申请解决，不单列外部云服务器租赁费用；若需要外网访问，则需租用外部云服务器，按小型应用服务器配置估算约 0.5-1.5 万元/年。模型及接口费用建议按 1-3.5 万元/年预留。综合来看，直接资源及接口费用建议按 1-6 万元/年预留。人工运维、数据维护、报告模板优化、培训及专项支持等服务类费用，按照后续明确的服务范围和协作机制另行协定。</w:t>
      </w:r>
    </w:p>
    <w:p>
      <w:pPr>
        <w:pStyle w:val="Heading1"/>
        <w:keepNext/>
      </w:pPr>
      <w:r/>
      <w:r>
        <w:rPr>
          <w:rFonts w:ascii="Calibri" w:hAnsi="Calibri" w:eastAsia="微软雅黑"/>
          <w:b/>
          <w:color w:val="1F4E79"/>
          <w:sz w:val="32"/>
        </w:rPr>
        <w:t>六、依据说明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系统规模依据：现有交付包为轻量 Web 服务，包含项目库、知识库、报告导出和模型 API 接入，不需要自建 GPU。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部署费用依据：云服务器通常由实例、云盘、快照/备份、公网带宽或访问流量等计费项组成；具体金额以后续选型和采购价格为准。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模型费用依据：主流大模型 API 按 Token 或调用量计费，可通过额度封顶和模型分级调用控制。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04" w:bottom="1247" w:left="130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666666"/>
        <w:sz w:val="18"/>
      </w:rPr>
      <w:t>内部测算与立项汇报参考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666666"/>
        <w:sz w:val="18"/>
      </w:rPr>
      <w:t>互联互通智能体 | 运营维护及算力费用估算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397" w:hanging="198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ind w:left="397" w:hanging="198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