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金家堰邻里中心</w:t>
      </w:r>
    </w:p>
    <w:p>
      <w:r>
        <w:t>地块编号：6-JJY-2026-001</w:t>
      </w:r>
    </w:p>
    <w:p>
      <w:r>
        <w:t>综合评分（百分制）：62.03分</w:t>
      </w:r>
    </w:p>
    <w:p>
      <w:r>
        <w:t>原始加权分：2.5306 / 4.0795</w:t>
      </w:r>
    </w:p>
    <w:p>
      <w:r>
        <w:t>联通等级：尽连地块</w:t>
      </w:r>
    </w:p>
    <w:p>
      <w:r>
        <w:t>推荐方式：地下主通道</w:t>
      </w:r>
    </w:p>
    <w:p>
      <w:r>
        <w:t>数据完整度：6/6</w:t>
      </w:r>
    </w:p>
    <w:p>
      <w:pPr>
        <w:pStyle w:val="Heading1"/>
      </w:pPr>
      <w:r>
        <w:t>评分总览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结果</w:t>
            </w:r>
          </w:p>
        </w:tc>
      </w:tr>
      <w:tr>
        <w:tc>
          <w:tcPr>
            <w:tcW w:type="dxa" w:w="4320"/>
          </w:tcPr>
          <w:p>
            <w:r>
              <w:t>综合评分（百分制）</w:t>
            </w:r>
          </w:p>
        </w:tc>
        <w:tc>
          <w:tcPr>
            <w:tcW w:type="dxa" w:w="4320"/>
          </w:tcPr>
          <w:p>
            <w:r>
              <w:t>62.03分</w:t>
            </w:r>
          </w:p>
        </w:tc>
      </w:tr>
      <w:tr>
        <w:tc>
          <w:tcPr>
            <w:tcW w:type="dxa" w:w="4320"/>
          </w:tcPr>
          <w:p>
            <w:r>
              <w:t>原始加权分</w:t>
            </w:r>
          </w:p>
        </w:tc>
        <w:tc>
          <w:tcPr>
            <w:tcW w:type="dxa" w:w="4320"/>
          </w:tcPr>
          <w:p>
            <w:r>
              <w:t>2.5306 / 4.0795</w:t>
            </w:r>
          </w:p>
        </w:tc>
      </w:tr>
      <w:tr>
        <w:tc>
          <w:tcPr>
            <w:tcW w:type="dxa" w:w="4320"/>
          </w:tcPr>
          <w:p>
            <w:r>
              <w:t>联通等级</w:t>
            </w:r>
          </w:p>
        </w:tc>
        <w:tc>
          <w:tcPr>
            <w:tcW w:type="dxa" w:w="4320"/>
          </w:tcPr>
          <w:p>
            <w:r>
              <w:t>尽连地块</w:t>
            </w:r>
          </w:p>
        </w:tc>
      </w:tr>
      <w:tr>
        <w:tc>
          <w:tcPr>
            <w:tcW w:type="dxa" w:w="4320"/>
          </w:tcPr>
          <w:p>
            <w:r>
              <w:t>推荐方式</w:t>
            </w:r>
          </w:p>
        </w:tc>
        <w:tc>
          <w:tcPr>
            <w:tcW w:type="dxa" w:w="4320"/>
          </w:tcPr>
          <w:p>
            <w:r>
              <w:t>地下主通道</w:t>
            </w:r>
          </w:p>
        </w:tc>
      </w:tr>
      <w:tr>
        <w:tc>
          <w:tcPr>
            <w:tcW w:type="dxa" w:w="4320"/>
          </w:tcPr>
          <w:p>
            <w:r>
              <w:t>数据完整度</w:t>
            </w:r>
          </w:p>
        </w:tc>
        <w:tc>
          <w:tcPr>
            <w:tcW w:type="dxa" w:w="4320"/>
          </w:tcPr>
          <w:p>
            <w:r>
              <w:t>6/6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评分维度</w:t>
            </w:r>
          </w:p>
        </w:tc>
        <w:tc>
          <w:tcPr>
            <w:tcW w:type="dxa" w:w="1728"/>
          </w:tcPr>
          <w:p>
            <w:r>
              <w:t>加权得分</w:t>
            </w:r>
          </w:p>
        </w:tc>
        <w:tc>
          <w:tcPr>
            <w:tcW w:type="dxa" w:w="1728"/>
          </w:tcPr>
          <w:p>
            <w:r>
              <w:t>主要因子取值</w:t>
            </w:r>
          </w:p>
        </w:tc>
        <w:tc>
          <w:tcPr>
            <w:tcW w:type="dxa" w:w="1728"/>
          </w:tcPr>
          <w:p>
            <w:r>
              <w:t>来源依据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</w:tr>
      <w:tr>
        <w:tc>
          <w:tcPr>
            <w:tcW w:type="dxa" w:w="1728"/>
          </w:tcPr>
          <w:p>
            <w:r>
              <w:t>功能属性</w:t>
            </w:r>
          </w:p>
        </w:tc>
        <w:tc>
          <w:tcPr>
            <w:tcW w:type="dxa" w:w="1728"/>
          </w:tcPr>
          <w:p>
            <w:r>
              <w:t>1.3359</w:t>
            </w:r>
          </w:p>
        </w:tc>
        <w:tc>
          <w:tcPr>
            <w:tcW w:type="dxa" w:w="1728"/>
          </w:tcPr>
          <w:p>
            <w:r>
              <w:t>用地功能：重要医疗文体设施、综合商业、邻里中心（0.3180）；开发强度：建筑面积 3 万-10 万平方米（1.0179）</w:t>
            </w:r>
          </w:p>
        </w:tc>
        <w:tc>
          <w:tcPr>
            <w:tcW w:type="dxa" w:w="1728"/>
          </w:tcPr>
          <w:p>
            <w:r>
              <w:t>用地功能：现有输入/预设数据；开发强度：现有输入/预设数据</w:t>
            </w:r>
          </w:p>
        </w:tc>
        <w:tc>
          <w:tcPr>
            <w:tcW w:type="dxa" w:w="1728"/>
          </w:tcPr>
          <w:p>
            <w:r>
              <w:t>核心字段已取值</w:t>
            </w:r>
          </w:p>
        </w:tc>
      </w:tr>
      <w:tr>
        <w:tc>
          <w:tcPr>
            <w:tcW w:type="dxa" w:w="1728"/>
          </w:tcPr>
          <w:p>
            <w:r>
              <w:t>区位属性</w:t>
            </w:r>
          </w:p>
        </w:tc>
        <w:tc>
          <w:tcPr>
            <w:tcW w:type="dxa" w:w="1728"/>
          </w:tcPr>
          <w:p>
            <w:r>
              <w:t>0.2814</w:t>
            </w:r>
          </w:p>
        </w:tc>
        <w:tc>
          <w:tcPr>
            <w:tcW w:type="dxa" w:w="1728"/>
          </w:tcPr>
          <w:p>
            <w:r>
              <w:t>区位能级：社区级中心（0.2814）</w:t>
            </w:r>
          </w:p>
        </w:tc>
        <w:tc>
          <w:tcPr>
            <w:tcW w:type="dxa" w:w="1728"/>
          </w:tcPr>
          <w:p>
            <w:r>
              <w:t>区位能级：现有输入/预设数据</w:t>
            </w:r>
          </w:p>
        </w:tc>
        <w:tc>
          <w:tcPr>
            <w:tcW w:type="dxa" w:w="1728"/>
          </w:tcPr>
          <w:p>
            <w:r>
              <w:t>核心字段已取值</w:t>
            </w:r>
          </w:p>
        </w:tc>
      </w:tr>
      <w:tr>
        <w:tc>
          <w:tcPr>
            <w:tcW w:type="dxa" w:w="1728"/>
          </w:tcPr>
          <w:p>
            <w:r>
              <w:t>交通属性</w:t>
            </w:r>
          </w:p>
        </w:tc>
        <w:tc>
          <w:tcPr>
            <w:tcW w:type="dxa" w:w="1728"/>
          </w:tcPr>
          <w:p>
            <w:r>
              <w:t>0.3417</w:t>
            </w:r>
          </w:p>
        </w:tc>
        <w:tc>
          <w:tcPr>
            <w:tcW w:type="dxa" w:w="1728"/>
          </w:tcPr>
          <w:p>
            <w:r>
              <w:t>出行客流：日均进站量小于 2500（0.2535）；高效换乘：一般站（0.0882）</w:t>
            </w:r>
          </w:p>
        </w:tc>
        <w:tc>
          <w:tcPr>
            <w:tcW w:type="dxa" w:w="1728"/>
          </w:tcPr>
          <w:p>
            <w:r>
              <w:t>出行客流：每站每月日均进站.xlsx：2025-11日均进站；高效换乘：现有输入/预设数据</w:t>
            </w:r>
          </w:p>
        </w:tc>
        <w:tc>
          <w:tcPr>
            <w:tcW w:type="dxa" w:w="1728"/>
          </w:tcPr>
          <w:p>
            <w:r>
              <w:t>核心字段已取值</w:t>
            </w:r>
          </w:p>
        </w:tc>
      </w:tr>
      <w:tr>
        <w:tc>
          <w:tcPr>
            <w:tcW w:type="dxa" w:w="1728"/>
          </w:tcPr>
          <w:p>
            <w:r>
              <w:t>地下属性</w:t>
            </w:r>
          </w:p>
        </w:tc>
        <w:tc>
          <w:tcPr>
            <w:tcW w:type="dxa" w:w="1728"/>
          </w:tcPr>
          <w:p>
            <w:r>
              <w:t>0.5716</w:t>
            </w:r>
          </w:p>
        </w:tc>
        <w:tc>
          <w:tcPr>
            <w:tcW w:type="dxa" w:w="1728"/>
          </w:tcPr>
          <w:p>
            <w:r>
              <w:t>地下空间：有，功能为商业、公共服务、文体、商业+停车或 P+R 停车（0.5716）</w:t>
            </w:r>
          </w:p>
        </w:tc>
        <w:tc>
          <w:tcPr>
            <w:tcW w:type="dxa" w:w="1728"/>
          </w:tcPr>
          <w:p>
            <w:r>
              <w:t>地下空间：现有输入/预设数据</w:t>
            </w:r>
          </w:p>
        </w:tc>
        <w:tc>
          <w:tcPr>
            <w:tcW w:type="dxa" w:w="1728"/>
          </w:tcPr>
          <w:p>
            <w:r>
              <w:t>核心字段已取值</w:t>
            </w:r>
          </w:p>
        </w:tc>
      </w:tr>
    </w:tbl>
    <w:p>
      <w:pPr>
        <w:pStyle w:val="Heading1"/>
      </w:pPr>
      <w:r>
        <w:t>推荐方案与备选方案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类别</w:t>
            </w:r>
          </w:p>
        </w:tc>
        <w:tc>
          <w:tcPr>
            <w:tcW w:type="dxa" w:w="2160"/>
          </w:tcPr>
          <w:p>
            <w:r>
              <w:t>核心适用场景</w:t>
            </w:r>
          </w:p>
        </w:tc>
      </w:tr>
      <w:tr>
        <w:tc>
          <w:tcPr>
            <w:tcW w:type="dxa" w:w="2160"/>
          </w:tcPr>
          <w:p>
            <w:r>
              <w:t>推荐</w:t>
            </w:r>
          </w:p>
        </w:tc>
        <w:tc>
          <w:tcPr>
            <w:tcW w:type="dxa" w:w="2160"/>
          </w:tcPr>
          <w:p>
            <w:r>
              <w:t>地下主通道</w:t>
            </w:r>
          </w:p>
        </w:tc>
        <w:tc>
          <w:tcPr>
            <w:tcW w:type="dxa" w:w="2160"/>
          </w:tcPr>
          <w:p>
            <w:r>
              <w:t>地下联通</w:t>
            </w:r>
          </w:p>
        </w:tc>
        <w:tc>
          <w:tcPr>
            <w:tcW w:type="dxa" w:w="2160"/>
          </w:tcPr>
          <w:p>
            <w:r>
              <w:t>必连地块、尽连地块、商业公服、交通枢纽、地下公共空间</w:t>
            </w:r>
          </w:p>
        </w:tc>
      </w:tr>
      <w:tr>
        <w:tc>
          <w:tcPr>
            <w:tcW w:type="dxa" w:w="2160"/>
          </w:tcPr>
          <w:p>
            <w:r>
              <w:t>备选</w:t>
            </w:r>
          </w:p>
        </w:tc>
        <w:tc>
          <w:tcPr>
            <w:tcW w:type="dxa" w:w="2160"/>
          </w:tcPr>
          <w:p>
            <w:r>
              <w:t>地下次通道</w:t>
            </w:r>
          </w:p>
        </w:tc>
        <w:tc>
          <w:tcPr>
            <w:tcW w:type="dxa" w:w="2160"/>
          </w:tcPr>
          <w:p>
            <w:r>
              <w:t>地下联通</w:t>
            </w:r>
          </w:p>
        </w:tc>
        <w:tc>
          <w:tcPr>
            <w:tcW w:type="dxa" w:w="2160"/>
          </w:tcPr>
          <w:p>
            <w:r>
              <w:t>尽连地块、可连地块、停车接驳、接口预留</w:t>
            </w:r>
          </w:p>
        </w:tc>
      </w:tr>
      <w:tr>
        <w:tc>
          <w:tcPr>
            <w:tcW w:type="dxa" w:w="2160"/>
          </w:tcPr>
          <w:p>
            <w:r>
              <w:t>备选</w:t>
            </w:r>
          </w:p>
        </w:tc>
        <w:tc>
          <w:tcPr>
            <w:tcW w:type="dxa" w:w="2160"/>
          </w:tcPr>
          <w:p>
            <w:r>
              <w:t>风雨连廊</w:t>
            </w:r>
          </w:p>
        </w:tc>
        <w:tc>
          <w:tcPr>
            <w:tcW w:type="dxa" w:w="2160"/>
          </w:tcPr>
          <w:p>
            <w:r>
              <w:t>地面联通</w:t>
            </w:r>
          </w:p>
        </w:tc>
        <w:tc>
          <w:tcPr>
            <w:tcW w:type="dxa" w:w="2160"/>
          </w:tcPr>
          <w:p>
            <w:r>
              <w:t>居住类、学校医院、青年公寓、社区公服、无地下公共空间</w:t>
            </w:r>
          </w:p>
        </w:tc>
      </w:tr>
    </w:tbl>
    <w:p>
      <w:pPr>
        <w:pStyle w:val="Heading1"/>
      </w:pPr>
      <w:r>
        <w:t>1. 客户报告生成提示</w:t>
      </w:r>
    </w:p>
    <w:p>
      <w:r>
        <w:t>当前尚未连接可用模型。系统已完成规则评分、资料检索和研究问题准备，但不会自动生成完整顾问式成果报告。请连接模型后重新运行评估，或在页面提示中确认使用离线兜底，由本地知识库和五类标杆案例生成客户报告初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