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Imported Core Browser Project打分明细</w:t>
      </w:r>
    </w:p>
    <w:p>
      <w:r>
        <w:t>地块编号：CORE-BROWSER-IMPORT</w:t>
      </w:r>
    </w:p>
    <w:p>
      <w:r>
        <w:t>综合评分（百分制）：56.74分</w:t>
      </w:r>
    </w:p>
    <w:p>
      <w:r>
        <w:t>原始加权分：2.3149 / 4.0795</w:t>
      </w:r>
    </w:p>
    <w:p>
      <w:r>
        <w:t>联通等级：可连地块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维度</w:t>
            </w:r>
          </w:p>
        </w:tc>
        <w:tc>
          <w:tcPr>
            <w:tcW w:type="dxa" w:w="1080"/>
          </w:tcPr>
          <w:p>
            <w:r>
              <w:t>因子</w:t>
            </w:r>
          </w:p>
        </w:tc>
        <w:tc>
          <w:tcPr>
            <w:tcW w:type="dxa" w:w="1080"/>
          </w:tcPr>
          <w:p>
            <w:r>
              <w:t>选项</w:t>
            </w:r>
          </w:p>
        </w:tc>
        <w:tc>
          <w:tcPr>
            <w:tcW w:type="dxa" w:w="1080"/>
          </w:tcPr>
          <w:p>
            <w:r>
              <w:t>原始分</w:t>
            </w:r>
          </w:p>
        </w:tc>
        <w:tc>
          <w:tcPr>
            <w:tcW w:type="dxa" w:w="1080"/>
          </w:tcPr>
          <w:p>
            <w:r>
              <w:t>权重</w:t>
            </w:r>
          </w:p>
        </w:tc>
        <w:tc>
          <w:tcPr>
            <w:tcW w:type="dxa" w:w="1080"/>
          </w:tcPr>
          <w:p>
            <w:r>
              <w:t>加权分</w:t>
            </w:r>
          </w:p>
        </w:tc>
        <w:tc>
          <w:tcPr>
            <w:tcW w:type="dxa" w:w="1080"/>
          </w:tcPr>
          <w:p>
            <w:r>
              <w:t>来源</w:t>
            </w:r>
          </w:p>
        </w:tc>
        <w:tc>
          <w:tcPr>
            <w:tcW w:type="dxa" w:w="1080"/>
          </w:tcPr>
          <w:p>
            <w:r>
              <w:t>是否假定</w:t>
            </w:r>
          </w:p>
        </w:tc>
      </w:tr>
      <w:tr>
        <w:tc>
          <w:tcPr>
            <w:tcW w:type="dxa" w:w="1080"/>
          </w:tcPr>
          <w:p>
            <w:r>
              <w:t>功能属性</w:t>
            </w:r>
          </w:p>
        </w:tc>
        <w:tc>
          <w:tcPr>
            <w:tcW w:type="dxa" w:w="1080"/>
          </w:tcPr>
          <w:p>
            <w:r>
              <w:t>用地功能</w:t>
            </w:r>
          </w:p>
        </w:tc>
        <w:tc>
          <w:tcPr>
            <w:tcW w:type="dxa" w:w="1080"/>
          </w:tcPr>
          <w:p>
            <w:r>
              <w:t>正式地块资料待补齐，暂按保守 1 分试算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0.0795</w:t>
            </w:r>
          </w:p>
        </w:tc>
        <w:tc>
          <w:tcPr>
            <w:tcW w:type="dxa" w:w="1080"/>
          </w:tcPr>
          <w:p>
            <w:r>
              <w:t>0.0795</w:t>
            </w:r>
          </w:p>
        </w:tc>
        <w:tc>
          <w:tcPr>
            <w:tcW w:type="dxa" w:w="1080"/>
          </w:tcPr>
          <w:p>
            <w:r>
              <w:t>缺正式地块用地性质；周边配套/地块名称仅作预评估线索</w:t>
            </w:r>
          </w:p>
        </w:tc>
        <w:tc>
          <w:tcPr>
            <w:tcW w:type="dxa" w:w="1080"/>
          </w:tcPr>
          <w:p>
            <w:r>
              <w:t>是</w:t>
            </w:r>
          </w:p>
        </w:tc>
      </w:tr>
      <w:tr>
        <w:tc>
          <w:tcPr>
            <w:tcW w:type="dxa" w:w="1080"/>
          </w:tcPr>
          <w:p>
            <w:r>
              <w:t>功能属性</w:t>
            </w:r>
          </w:p>
        </w:tc>
        <w:tc>
          <w:tcPr>
            <w:tcW w:type="dxa" w:w="1080"/>
          </w:tcPr>
          <w:p>
            <w:r>
              <w:t>开发强度</w:t>
            </w:r>
          </w:p>
        </w:tc>
        <w:tc>
          <w:tcPr>
            <w:tcW w:type="dxa" w:w="1080"/>
          </w:tcPr>
          <w:p>
            <w:r>
              <w:t>正式地块资料待补齐，暂按保守 1 分试算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0.3393</w:t>
            </w:r>
          </w:p>
        </w:tc>
        <w:tc>
          <w:tcPr>
            <w:tcW w:type="dxa" w:w="1080"/>
          </w:tcPr>
          <w:p>
            <w:r>
              <w:t>0.3393</w:t>
            </w:r>
          </w:p>
        </w:tc>
        <w:tc>
          <w:tcPr>
            <w:tcW w:type="dxa" w:w="1080"/>
          </w:tcPr>
          <w:p>
            <w:r>
              <w:t>缺建筑面积/容积率/开发强度正式指标</w:t>
            </w:r>
          </w:p>
        </w:tc>
        <w:tc>
          <w:tcPr>
            <w:tcW w:type="dxa" w:w="1080"/>
          </w:tcPr>
          <w:p>
            <w:r>
              <w:t>是</w:t>
            </w:r>
          </w:p>
        </w:tc>
      </w:tr>
      <w:tr>
        <w:tc>
          <w:tcPr>
            <w:tcW w:type="dxa" w:w="1080"/>
          </w:tcPr>
          <w:p>
            <w:r>
              <w:t>区位属性</w:t>
            </w:r>
          </w:p>
        </w:tc>
        <w:tc>
          <w:tcPr>
            <w:tcW w:type="dxa" w:w="1080"/>
          </w:tcPr>
          <w:p>
            <w:r>
              <w:t>区位能级</w:t>
            </w:r>
          </w:p>
        </w:tc>
        <w:tc>
          <w:tcPr>
            <w:tcW w:type="dxa" w:w="1080"/>
          </w:tcPr>
          <w:p>
            <w:r>
              <w:t>城市级中心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0.1407</w:t>
            </w:r>
          </w:p>
        </w:tc>
        <w:tc>
          <w:tcPr>
            <w:tcW w:type="dxa" w:w="1080"/>
          </w:tcPr>
          <w:p>
            <w:r>
              <w:t>0.5628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交通属性</w:t>
            </w:r>
          </w:p>
        </w:tc>
        <w:tc>
          <w:tcPr>
            <w:tcW w:type="dxa" w:w="1080"/>
          </w:tcPr>
          <w:p>
            <w:r>
              <w:t>出行客流</w:t>
            </w:r>
          </w:p>
        </w:tc>
        <w:tc>
          <w:tcPr>
            <w:tcW w:type="dxa" w:w="1080"/>
          </w:tcPr>
          <w:p>
            <w:r>
              <w:t>日均进站量 9000 以上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0.2535</w:t>
            </w:r>
          </w:p>
        </w:tc>
        <w:tc>
          <w:tcPr>
            <w:tcW w:type="dxa" w:w="1080"/>
          </w:tcPr>
          <w:p>
            <w:r>
              <w:t>1.014</w:t>
            </w:r>
          </w:p>
        </w:tc>
        <w:tc>
          <w:tcPr>
            <w:tcW w:type="dxa" w:w="1080"/>
          </w:tcPr>
          <w:p>
            <w:r>
              <w:t>每站每月日均进站.xlsx：2025-11日均进站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交通属性</w:t>
            </w:r>
          </w:p>
        </w:tc>
        <w:tc>
          <w:tcPr>
            <w:tcW w:type="dxa" w:w="1080"/>
          </w:tcPr>
          <w:p>
            <w:r>
              <w:t>高效换乘</w:t>
            </w:r>
          </w:p>
        </w:tc>
        <w:tc>
          <w:tcPr>
            <w:tcW w:type="dxa" w:w="1080"/>
          </w:tcPr>
          <w:p>
            <w:r>
              <w:t>现状换乘站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0.0441</w:t>
            </w:r>
          </w:p>
        </w:tc>
        <w:tc>
          <w:tcPr>
            <w:tcW w:type="dxa" w:w="1080"/>
          </w:tcPr>
          <w:p>
            <w:r>
              <w:t>0.1764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地下属性</w:t>
            </w:r>
          </w:p>
        </w:tc>
        <w:tc>
          <w:tcPr>
            <w:tcW w:type="dxa" w:w="1080"/>
          </w:tcPr>
          <w:p>
            <w:r>
              <w:t>地下空间</w:t>
            </w:r>
          </w:p>
        </w:tc>
        <w:tc>
          <w:tcPr>
            <w:tcW w:type="dxa" w:w="1080"/>
          </w:tcPr>
          <w:p>
            <w:r>
              <w:t>正式地块资料待补齐，暂按保守 1 分试算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0.1429</w:t>
            </w:r>
          </w:p>
        </w:tc>
        <w:tc>
          <w:tcPr>
            <w:tcW w:type="dxa" w:w="1080"/>
          </w:tcPr>
          <w:p>
            <w:r>
              <w:t>0.1429</w:t>
            </w:r>
          </w:p>
        </w:tc>
        <w:tc>
          <w:tcPr>
            <w:tcW w:type="dxa" w:w="1080"/>
          </w:tcPr>
          <w:p>
            <w:r>
              <w:t>有联通形式线索，缺地块地下空间正式条件</w:t>
            </w:r>
          </w:p>
        </w:tc>
        <w:tc>
          <w:tcPr>
            <w:tcW w:type="dxa" w:w="1080"/>
          </w:tcPr>
          <w:p>
            <w:r>
              <w:t>是</w:t>
            </w:r>
          </w:p>
        </w:tc>
      </w:tr>
    </w:tbl>
    <w:p>
      <w:pPr>
        <w:pStyle w:val="Heading1"/>
      </w:pPr>
      <w:r>
        <w:t>资料缺项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因子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land_use</w:t>
            </w:r>
          </w:p>
        </w:tc>
        <w:tc>
          <w:tcPr>
            <w:tcW w:type="dxa" w:w="2880"/>
          </w:tcPr>
          <w:p>
            <w:r>
              <w:t>用地功能</w:t>
            </w:r>
          </w:p>
        </w:tc>
        <w:tc>
          <w:tcPr>
            <w:tcW w:type="dxa" w:w="2880"/>
          </w:tcPr>
          <w:p>
            <w:r>
              <w:t>未提供具体地块用地性质；运营表中的地块名称和周边配套已作为背景线索入库，但不能等同正式用地功能评分。</w:t>
            </w:r>
          </w:p>
        </w:tc>
      </w:tr>
      <w:tr>
        <w:tc>
          <w:tcPr>
            <w:tcW w:type="dxa" w:w="2880"/>
          </w:tcPr>
          <w:p>
            <w:r>
              <w:t>development_intensity</w:t>
            </w:r>
          </w:p>
        </w:tc>
        <w:tc>
          <w:tcPr>
            <w:tcW w:type="dxa" w:w="2880"/>
          </w:tcPr>
          <w:p>
            <w:r>
              <w:t>开发强度</w:t>
            </w:r>
          </w:p>
        </w:tc>
        <w:tc>
          <w:tcPr>
            <w:tcW w:type="dxa" w:w="2880"/>
          </w:tcPr>
          <w:p>
            <w:r>
              <w:t>未提供建筑面积、用地面积、容积率或开发强度分档，当前按保守 1 分临时试算。</w:t>
            </w:r>
          </w:p>
        </w:tc>
      </w:tr>
      <w:tr>
        <w:tc>
          <w:tcPr>
            <w:tcW w:type="dxa" w:w="2880"/>
          </w:tcPr>
          <w:p>
            <w:r>
              <w:t>underground_space</w:t>
            </w:r>
          </w:p>
        </w:tc>
        <w:tc>
          <w:tcPr>
            <w:tcW w:type="dxa" w:w="2880"/>
          </w:tcPr>
          <w:p>
            <w:r>
              <w:t>地下空间</w:t>
            </w:r>
          </w:p>
        </w:tc>
        <w:tc>
          <w:tcPr>
            <w:tcW w:type="dxa" w:w="2880"/>
          </w:tcPr>
          <w:p>
            <w:r>
              <w:t>运营表已识别联通形式：地下通道；但未提供地块地下空间功能、开放属性和接口标高，暂不作为地下空间因子正式赋值。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