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Architect’s Blueprint: Strategic Decisions for High-Quality Health AI Systems and Interoperable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decision to bypass the 2026 ViVE conference in favor of accelerating the development of a proprietary healthcare platform represents a pivot toward execution over observation. For the lead developer, Jacob, and the associated engineering team, the priority shifts from understanding industry trends to implementing a high-performance, resilient, and compliant architecture. Build quality in the current healthcare ecosystem is no longer defined simply by uptime or user interface responsiveness; it is defined by the depth of data liquidity, the precision of clinical grounding in artificial intelligence, and the rigor of regulatory adherence within a rapidly shifting legal landscape. The transition from a legacy health application to an AI-augmented ecosystem requires a foundational commitment to Fast Healthcare Interoperability Resources (FHIR) R4 standards, the utilization of sophisticated software development kits like the b.well Health AI SDK, and a security posture that transcends basic encryption to embrace a comprehensive zero-trust model.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Build Quality: SDK-Driven Acceleration and the Data Refinery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decision for Jacob regarding build quality is the selection of the core data infrastructure. Historically, healthcare organizations have attempted to build internal data aggregators and AI assistants from the ground up—a process that typically consumes 18 to 24 months of development time and incurs millions of dollars in capital expenditure.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emergence of the b.well Health AI SDK, which powers the bailey™ turnkey assistant, offers an alternative that condenses this timeline into a matter of weeks by providing pre-certified, "AI-ready" data structures.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quality is intrinsically linked to the provenance and cleanliness of the underlying clinical data. The fragmented nature of the American healthcare system—where clinical records, claims data, pharmacy history, and wearable metrics reside in disparate silos—creates a "data noise" problem that traditional AI models struggle to navigate. The SDK addresses this through a proprietary 13-step data refinery.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refinery does not merely ingest data; it cleanses, reconciles, standardizes, summarizes, and enriches it. By compressing health information into high-density tokens, the system reportedly reduces Large Language Model (LLM) processing costs by a factor of ten.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financial efficiency is a second-order indicator of build quality, as it allows for the scaling of AI interactions without a linear increase in inference costs.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Development Paradigms: Custom Build vs. SDK Integration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of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Ground-Up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b.well bailey™ / Health AI SDK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18–24 months for a stable beta.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 weeks for enterprise deployment.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Source Connectivity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API integration for each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Pre-built connectivity to 350+ sources, 2.2M providers.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manual mapping of medical vocabularies.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Algorithms rooted in standard medical terminologies.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raw token consumption for LLM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10x reduction in LLM costs via data compression.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Certification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Independent pursuit of HITRUST/SOC2.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Inherited HITRUST-certified infrastructure.</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to utilize an agentic AI architecture further distinguishes a high-quality build. Unlike a simple chatbot that merely responds based on a fixed knowledge base, an agentic system coordinates multiple specialized AI agents to perform concrete tasks, such as scheduling appointments, managing medication refills, or navigating complex insurance benefits.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Jacob, this means the build should focus on "action-oriented" AI that moves users from questions to follow-through within a single conversational experience.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Interoperability as a Technical Mandate: FHIR R4 and the Logic of Webhooks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any modern healthcare platform is the FHIR R4 standard. The Fast Healthcare Interoperability Resource has become the primary protocol for joining disparate systems together, combining domain-specific healthcare features with modern e-commerce security protocols.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the development team, building quality in interoperability requires more than just supporting FHIR; it requires a native implementation of the standard at every level of the stack.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DHIT FHIR documentation underscores that build quality is enhanced by following a series of working use-cases that guide the consumption of health resources.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high-quality integration with an Electronic Health Record (EHR) through the SMART on FHIR® API provides a secure method for applications to access clinical data while maintaining the integrity of the host 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Parameters for FHIR API Integration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high-quality build for Jacob must account for the specific syntax and authorization requirements of the FHIR server.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FHIR R4-6.0.85 or higher.</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Authorization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SMART on FHIR / OAuth 2.0 / OIDC.</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USCDI (United States Core Data for Interoperability).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Registration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Application URL, Redirect URL, Logout URL.</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/metadata for capability statements.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static data retrieval, the platform must embrace event-driven architecture through FHIR Subscriptions and webhooks. This mechanism allows the platform to receive real-time notifications when data changes—such as when a new lab result is posted, or a patient is discharged—without the overhead of constant polling.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real-time responsiveness is a hallmark of high build quality, as it ensures that clinical interventions or AI-guided recommendations are based on the most current data available.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these webhooks requires the server to monitor specific criteria—typically written as a FHIR search query (e.g., Observation?status=final)—and deliver notifications via designated channels like REST hooks, email, or SMS.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robust integration, the platform's endpoint should be FHIR-compliant, often taking the form [base]/$process-message, although individual vendors like Caredove or MediRecords may have specific hub event types.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Intelligence and Standardized Taxonomy: The Omaha 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professional-grade build quality in healthcare documentation, the system must utilize standardized terminologies that support multidisciplinary care. The Omaha System is particularly well-suited for platforms involving caregivers and home health, as it is a research-based taxonomy recognized by the American Nurses Association since 1992.</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Omaha System is organized into three components: a Problem Classification Scheme for assessment, an Intervention Scheme for care plans, and a Problem Rating Scale for Outcomes.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Integrating this taxonomy allows for the "automated reuse" of data, where concepts within the EHR are mapped to similar concepts in the Omaha System classification to facilitate reporting and research.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Omaha System Hierarchy and Mapping Potential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Jacob’s implementation should focus on the four levels of abstraction within the Problem Classification Scheme to ensure the highest degree of clinical accuracy.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 /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Environmental, Psychosocial, Physiological, Health Behaviors.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Problems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 neutral areas of concern (e.g., Cognition, Nutrition, Pain).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Modifiers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Nature (Health Promotion, Potential, Actual) and Target (Individual, Family, Community).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Signs/Symptoms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Specific clusters describing the problem (e.g., "difficulty with short-term memory").</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indicator of build quality in 2026 is the use of Natural Language Processing (NLP) and Large Language Models (LLMs) to map narrative voice notes directly to these codes. Research has demonstrated that integrating risk factors identified from clinical notes into predictive models based on the Omaha System can boost the accuracy of hospitalization and emergency visit predictions by up to 18%.</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Jacob, this suggests that the "build" must include an NLP pipeline capable of recognizing clinical intent and médical terminology, transforming ambient conversation into chart-ready, standardized notes.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"Ambient Technology" allows for the background capture of clinician-patient conversations, reducing documentation burden while maintaining eye contact and empathy.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the quality of this implementation depends on the diarization capabilities (differentiating between speakers) and the model's ability to interpret structured clinical language.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6-Layer HIPAA Hybrid Architecture: Security as a First-Class Citizen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healthcare platform is only as high-quality as its security architecture. HIPAA compliance is not a static state but a shared responsibility between the cloud provider and the application developer.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provider secures the infrastructure, while Jacob must secure the platform configuration, application logic, data handling, and identity management.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 "HIPAA-ready" platform, a coordinated system of six architectural layers is recommended.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Identity Trust and Zero Trust Architecture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Identity is the primary security boundary. The system must implement strong authentication (MFA) and role-based access control (RBAC), following the principle of least privilege.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includes not only workforce users but also patients, vendors, and machine services.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PHI Data Protection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Protected Health Information (PHI) must be encrypted both at rest (e.g., using AES-256) and in transit (e.g., via TLS 1.2+).</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High-quality builds go further by applying field-level protection and tokenization, ensuring that sensitive data is de-identified before entering training pipelines or analytics workspaces.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Application and API Security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API Gateway layer—utilizing technologies like AWS API Gateway or Google Cloud Apigee—serves as the unified control point for managing traffic and versioning.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must enforce consent-aware data sharing, reflecting the patient's intent rather than just technical authorization.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Infrastructure and Network Security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involves isolating partner and vendor workloads and hardening the cloud environment against external threats. Modern architectures move away from "flat" network trust zones, which allow lateral movement during a breach, in favor of segmented VPCs and private subnets.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5: Interoperability and FHIR Integration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FHIR server layer serves as the foundation for scalability. Managed services like AWS HealthLake or the Google Cloud Healthcare API offer HIPAA-eligible data stores that remove the need for building a custom persistence layer.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6: Continuous Governance and Audit Monitoring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Audit readiness must be continuous. The HIPAA Security Rule (45 CFR § 164.312) mandates hardware and software mechanisms to record activity.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includes logging who accessed which patient record and at what time—details that basic infrastructure logs often fail to capture.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Cloud Provider Analysis for HIPAA Workloads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Amazon Web Services (AWS)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Cloud Platform (GCP)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Azure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Widest catalog of HIPAA-eligible services.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Leader in AI/ML and BigQuery </w:t>
            </w:r>
            <w:r w:rsidDel="00000000" w:rsidR="00000000" w:rsidRPr="00000000">
              <w:rPr>
                <w:rFonts w:ascii="Google Sans" w:cs="Google Sans" w:eastAsia="Google Sans" w:hAnsi="Google Sans"/>
                <w:color w:val="1f1f1f"/>
                <w:rtl w:val="0"/>
              </w:rPr>
              <w:t xml:space="preserve">analytics.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integration with Microsoft-centric systems.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Healthcare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AWS HealthLake (FHIR R4).</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 Healthcare API (FHIR, HL7v2, DICOM).</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Azure Health Data Services.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Encryption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setup </w:t>
            </w:r>
            <w:r w:rsidDel="00000000" w:rsidR="00000000" w:rsidRPr="00000000">
              <w:rPr>
                <w:rFonts w:ascii="Google Sans" w:cs="Google Sans" w:eastAsia="Google Sans" w:hAnsi="Google Sans"/>
                <w:color w:val="1f1f1f"/>
                <w:rtl w:val="0"/>
              </w:rPr>
              <w:t xml:space="preserve">is </w:t>
            </w:r>
            <w:r w:rsidDel="00000000" w:rsidR="00000000" w:rsidRPr="00000000">
              <w:rPr>
                <w:rFonts w:ascii="Google Sans" w:cs="Google Sans" w:eastAsia="Google Sans" w:hAnsi="Google Sans"/>
                <w:color w:val="1f1f1f"/>
                <w:shd w:fill="auto" w:val="clear"/>
                <w:rtl w:val="0"/>
              </w:rPr>
              <w:t xml:space="preserve">typically required.</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Encryption at rest/transit on by default.</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setup </w:t>
            </w:r>
            <w:r w:rsidDel="00000000" w:rsidR="00000000" w:rsidRPr="00000000">
              <w:rPr>
                <w:rFonts w:ascii="Google Sans" w:cs="Google Sans" w:eastAsia="Google Sans" w:hAnsi="Google Sans"/>
                <w:color w:val="1f1f1f"/>
                <w:rtl w:val="0"/>
              </w:rPr>
              <w:t xml:space="preserve">is </w:t>
            </w:r>
            <w:r w:rsidDel="00000000" w:rsidR="00000000" w:rsidRPr="00000000">
              <w:rPr>
                <w:rFonts w:ascii="Google Sans" w:cs="Google Sans" w:eastAsia="Google Sans" w:hAnsi="Google Sans"/>
                <w:color w:val="1f1f1f"/>
                <w:shd w:fill="auto" w:val="clear"/>
                <w:rtl w:val="0"/>
              </w:rPr>
              <w:t xml:space="preserve">typically required.</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Enterprise-scale flexibility.</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Innovation and affordable entry.</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Hybrid cloud and multinationals.</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startup or mid-sized build, Google Cloud's default encryption and the sophisticated managed services of the Cloud Healthcare API often represent the most "quality-forward" and cost-effective entry point.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Regulatory Frontier: The Colorado AI Act (SB 24-205)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component of build quality in 2026 is compliance with emerging state AI regulations. The Colorado Artificial Intelligence Act (SB 24-205), effective June 30, 2026, sets a comprehensive precedent for the use of "high-risk" AI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the act defines healthcare services as a "consequential decision" area, the AI features Jacob is building will likely fall under its jurisdiction.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 requires both developers (those who build the system) and deployers (those who use it) to exercise "reasonable care" to protect consumers from algorithmic discrimination—defined as unlawful differential treatment based on characteristics like race, age, sex, or disability.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Roadmap for High-Risk AI Systems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Duty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Formal evaluation before deployment, annually, and within 90 days of substantial modification.</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Publicly available summary of AI systems used and risk management strategies.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Consumer 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Notifying consumers when they interact with AI, specifically for consequential decisions.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Documentation of data sources, limitations, and bias mitigation for the deployer.</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 Notification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Disclosing any discovery of algorithmic discrimination within 90 days.</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Jacob must ensure that the impact assessments go "beyond surface-level documentation" to include a detailed analysis of known or foreseeable risks and a plan for post-deployment monitoring.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Act also empowers consumers to correct incorrect personal data used in AI decisions and to appeal adverse decisions through a "human review if technically feasible".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human-in-the-loop requirement is a crucial architectural consideration for build quality; the system must be designed to allow for manual override and explanation of AI-generated outcomes.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Worker-Owner Equity and Cooperative Patronage: Financial Backend Design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building for a cooperative entity, the quality of the financial backend is determined by its ability to accurately track member patronage and equity. Unlike traditional corporations, cooperatives distribute profits (surplus) based on "patronage"—how much a member uses the co-op—rather than their equity investment.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a worker cooperative, this patronage is typically calculated based on hours worked or wages earned.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accounting of patronage dividends is complex, often involving a mix of cash (at least 20% to be qualified for tax deduction) and retained equity.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retained portion is recorded as an asset for the co-op but as an equity allocation for the member.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for Patronage and Equity Tracking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these requirements, Jacob should implement a ledger-based database schema, preferably using PostgreSQL for its transactionality and atomicity.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double-entry ledger ensures that for every credit to a member’s equity account, there is a corresponding debit to the co-op’s retained earnings.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Narrative 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MemberID, NPI, StartDate, EquityClass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Centralizing member identity and provider credentials.</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PatronageLog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ActivityID, MemberID, Hours, ProjectValue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Tracking the "use" of the co-op to determine surplus </w:t>
            </w:r>
            <w:r w:rsidDel="00000000" w:rsidR="00000000" w:rsidRPr="00000000">
              <w:rPr>
                <w:rFonts w:ascii="Google Sans" w:cs="Google Sans" w:eastAsia="Google Sans" w:hAnsi="Google Sans"/>
                <w:color w:val="1f1f1f"/>
                <w:rtl w:val="0"/>
              </w:rPr>
              <w:t xml:space="preserve">distribution.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AccountID, MemberID, EquityType, 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Managing stock classes, equity allocations, and "revolvements".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Distributions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DistID, Year, CashPortion, RetainedPortion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Recording annual patronage refunds and generating 1099-PATR forms.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LedgerEntries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EntryID, DebitAcc, CreditAcc, Amount, 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atomic double-entry primitive to prevent race conditions.</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challenge in co-op management is "equity revolvements"—the process of returning historic equity to members after a set period (e.g., 5 or 10 years).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database must be able to track equity by "vintage" or year of issuance to facilitate these payouts, which are often triggered by member retirement or board decisions.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Clinical Metrics: The Caregiver Intensity and Readiness Indices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high-quality build for a caregiver platform must move beyond administrative tasks to provide meaningful clinical value. This is achieved by integrating validated assessment tools that measure the psychological and physical strain on unpaid caregivers.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Caregiver Intensity Index (CII)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CII, developed by ARCHANGELS, is a proprietary web-based tool that assesses the intensity of a caregiver’s situation based on specific "drivers" (which increase burden) and "buffers" (which reduce it).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Drivers include family disagreements, financial worry (caregivers spend an average of $7,500 out-of-pocket annually), and feeling resentful.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Buffers include a sense of purpose and having support at work.</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index provides a "color-coded" intensity score (Red, Yellow, Green), which can be used by the AI assistant to recommend targeted interventions.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 Readiness Index (CRI) and Preparedness Scale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Preparedness for Caregiving Scale (CPS) is an 8-item self-rated instrument that asks caregivers how ready they feel for domains like physical care and emotional support.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is critical during hospital discharge, as research indicates that caregiver-related factors—rather than just patient complexity—are the primary drivers of discharge readiness.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Engineering Recommendations for "Jacob"</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highest build quality, the development team must integrate these diverse requirements into a cohesive roadmap. The following recommendations synthesize the technical and strategic insights gathered:</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Prioritize the "Data Refinery" over "Data Ingestion":</w:t>
      </w:r>
      <w:r w:rsidDel="00000000" w:rsidR="00000000" w:rsidRPr="00000000">
        <w:rPr>
          <w:rFonts w:ascii="Google Sans" w:cs="Google Sans" w:eastAsia="Google Sans" w:hAnsi="Google Sans"/>
          <w:color w:val="1f1f1f"/>
          <w:rtl w:val="0"/>
        </w:rPr>
        <w:t xml:space="preserve"> Build quality begins with clean, longitudinal records. Jacob should leverage the b.well 13-step refinery to ensure that the AI is grounded in high-fidelity, standardized data.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Adopt a "Human-in-the-Loop" AI Strategy:</w:t>
      </w:r>
      <w:r w:rsidDel="00000000" w:rsidR="00000000" w:rsidRPr="00000000">
        <w:rPr>
          <w:rFonts w:ascii="Google Sans" w:cs="Google Sans" w:eastAsia="Google Sans" w:hAnsi="Google Sans"/>
          <w:color w:val="1f1f1f"/>
          <w:rtl w:val="0"/>
        </w:rPr>
        <w:t xml:space="preserve"> To comply with the Colorado AI Act and ensure clinical safety, the system should act as an assistant rather than a primary decision-maker. This means AI-generated notes should be drafts for clinician review.</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Embed Interoperability via Subscriptions:</w:t>
      </w:r>
      <w:r w:rsidDel="00000000" w:rsidR="00000000" w:rsidRPr="00000000">
        <w:rPr>
          <w:rFonts w:ascii="Google Sans" w:cs="Google Sans" w:eastAsia="Google Sans" w:hAnsi="Google Sans"/>
          <w:color w:val="1f1f1f"/>
          <w:rtl w:val="0"/>
        </w:rPr>
        <w:t xml:space="preserve"> Move away from polling models. Use FHIR R4 webhooks to create a reactive platform that responds to patient events in real-time.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a Zero-Trust 6-Layer Security Model:</w:t>
      </w:r>
      <w:r w:rsidDel="00000000" w:rsidR="00000000" w:rsidRPr="00000000">
        <w:rPr>
          <w:rFonts w:ascii="Google Sans" w:cs="Google Sans" w:eastAsia="Google Sans" w:hAnsi="Google Sans"/>
          <w:color w:val="1f1f1f"/>
          <w:rtl w:val="0"/>
        </w:rPr>
        <w:t xml:space="preserve"> Secure PHI not just with encryption but with field-level tokenization and a robust identity trust layer that treats every request as potentially compromised.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Utilize Standardized Clinical Taxonomies:</w:t>
      </w:r>
      <w:r w:rsidDel="00000000" w:rsidR="00000000" w:rsidRPr="00000000">
        <w:rPr>
          <w:rFonts w:ascii="Google Sans" w:cs="Google Sans" w:eastAsia="Google Sans" w:hAnsi="Google Sans"/>
          <w:color w:val="1f1f1f"/>
          <w:rtl w:val="0"/>
        </w:rPr>
        <w:t xml:space="preserve"> Build the Omaha System into the core documentation workflow. This ensures that caregiver data is not just "text" but structured, research-grade clinical information.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Design for "Equity by Vintage":</w:t>
      </w:r>
      <w:r w:rsidDel="00000000" w:rsidR="00000000" w:rsidRPr="00000000">
        <w:rPr>
          <w:rFonts w:ascii="Google Sans" w:cs="Google Sans" w:eastAsia="Google Sans" w:hAnsi="Google Sans"/>
          <w:color w:val="1f1f1f"/>
          <w:rtl w:val="0"/>
        </w:rPr>
        <w:t xml:space="preserve"> If the organization is a cooperative, the financial ledger must be built to handle the complexities of patronage and equity revolvements from the start.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following these decisions, Jacob can build a platform that exceeds the current industry standard. While others are observing trends at conferences, the team will be implementing a "build" that is secure by design, clinically grounded, and legally robust for the next decade of digital health.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model for calculating the patronage dividend allocation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given member based on their labor hours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total hours of all members (</w:t>
      </w:r>
      <w:r w:rsidDel="00000000" w:rsidR="00000000" w:rsidRPr="00000000">
        <w:rPr>
          <w:rFonts w:ascii="Google Sans" w:cs="Google Sans" w:eastAsia="Google Sans" w:hAnsi="Google Sans"/>
          <w:color w:val="1f1f1f"/>
        </w:rPr>
        <w:drawing>
          <wp:inline distB="19050" distT="19050" distL="19050" distR="19050">
            <wp:extent cx="427732" cy="228123"/>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7732" cy="228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net distributable surplus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defined as follows: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9897"/>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51989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accordance with Subchapter T of the Internal Revenue Code, the tax-deductible portion of this dividend requires that at least 20% of the calculated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amount be paid in cash, while the remaining 80% may be retained as equity to fund the cooperative's growth.</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blueprint provides the technical and strategic foundation for a professional-grade healthcare platform. By focusing on these core decisions, the development team ensures that the resulting system is not only functional but resilient, compliant, and capable of delivering significant clinical outcomes.</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Connected Health Unveils bailey™, a Ready-to-Deploy White-Label Health AI Assistant - PR Newswire, accessed February 26, 2026, </w:t>
      </w:r>
      <w:hyperlink r:id="rId11">
        <w:r w:rsidDel="00000000" w:rsidR="00000000" w:rsidRPr="00000000">
          <w:rPr>
            <w:rFonts w:ascii="Google Sans" w:cs="Google Sans" w:eastAsia="Google Sans" w:hAnsi="Google Sans"/>
            <w:color w:val="0000ee"/>
            <w:sz w:val="24"/>
            <w:szCs w:val="24"/>
            <w:u w:val="single"/>
            <w:rtl w:val="0"/>
          </w:rPr>
          <w:t xml:space="preserve">https://www.prnewswire.com/news-releases/bwell-connected-health-unveils-bailey-a-ready-to-deploy-white-label-health-ai-assistant-302694299.html</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Connected Health Launches bailey™, a Turnkey White-Label ..., accessed February 26, 2026, </w:t>
      </w:r>
      <w:hyperlink r:id="rId12">
        <w:r w:rsidDel="00000000" w:rsidR="00000000" w:rsidRPr="00000000">
          <w:rPr>
            <w:rFonts w:ascii="Google Sans" w:cs="Google Sans" w:eastAsia="Google Sans" w:hAnsi="Google Sans"/>
            <w:color w:val="0000ee"/>
            <w:sz w:val="24"/>
            <w:szCs w:val="24"/>
            <w:u w:val="single"/>
            <w:rtl w:val="0"/>
          </w:rPr>
          <w:t xml:space="preserve">https://hlth.com/insights/news/b-well-connected-health-launches-bailey-a-turnkey-white-label-health-ai-assistant-2026-02-24</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Launches the First-Ever SDK for Health AI Assistants - b.well, accessed February 26, 2026, </w:t>
      </w:r>
      <w:hyperlink r:id="rId13">
        <w:r w:rsidDel="00000000" w:rsidR="00000000" w:rsidRPr="00000000">
          <w:rPr>
            <w:rFonts w:ascii="Google Sans" w:cs="Google Sans" w:eastAsia="Google Sans" w:hAnsi="Google Sans"/>
            <w:color w:val="0000ee"/>
            <w:sz w:val="24"/>
            <w:szCs w:val="24"/>
            <w:u w:val="single"/>
            <w:rtl w:val="0"/>
          </w:rPr>
          <w:t xml:space="preserve">https://resources.icanbwell.com/bwell-launches-the-first-ever-sdk-for-health-ai-assistants/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 Home Page - FHIR Presentation, accessed February 26, 2026, </w:t>
      </w:r>
      <w:hyperlink r:id="rId14">
        <w:r w:rsidDel="00000000" w:rsidR="00000000" w:rsidRPr="00000000">
          <w:rPr>
            <w:rFonts w:ascii="Google Sans" w:cs="Google Sans" w:eastAsia="Google Sans" w:hAnsi="Google Sans"/>
            <w:color w:val="0000ee"/>
            <w:sz w:val="24"/>
            <w:szCs w:val="24"/>
            <w:u w:val="single"/>
            <w:rtl w:val="0"/>
          </w:rPr>
          <w:t xml:space="preserve">https://api.dynamicfhir.com/dhit/b.well/r4</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API Documentation, accessed February 26, 2026, </w:t>
      </w:r>
      <w:hyperlink r:id="rId15">
        <w:r w:rsidDel="00000000" w:rsidR="00000000" w:rsidRPr="00000000">
          <w:rPr>
            <w:rFonts w:ascii="Google Sans" w:cs="Google Sans" w:eastAsia="Google Sans" w:hAnsi="Google Sans"/>
            <w:color w:val="0000ee"/>
            <w:sz w:val="24"/>
            <w:szCs w:val="24"/>
            <w:u w:val="single"/>
            <w:rtl w:val="0"/>
          </w:rPr>
          <w:t xml:space="preserve">https://wellsky.dynamicfhir.com/wellsky/basepractice/r4/Home/ApiDocumentation</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Scalable Healthcare Integration Architecture - Emorphis Health, accessed February 26, 2026, </w:t>
      </w:r>
      <w:hyperlink r:id="rId16">
        <w:r w:rsidDel="00000000" w:rsidR="00000000" w:rsidRPr="00000000">
          <w:rPr>
            <w:rFonts w:ascii="Google Sans" w:cs="Google Sans" w:eastAsia="Google Sans" w:hAnsi="Google Sans"/>
            <w:color w:val="0000ee"/>
            <w:sz w:val="24"/>
            <w:szCs w:val="24"/>
            <w:u w:val="single"/>
            <w:rtl w:val="0"/>
          </w:rPr>
          <w:t xml:space="preserve">https://emorphis.health/blogs/scalable-healthcare-integration-architecture/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Subscriptions in FHIR (Fast Healthcare Interoperability Resources) - View Source, accessed February 26, 2026, </w:t>
      </w:r>
      <w:hyperlink r:id="rId17">
        <w:r w:rsidDel="00000000" w:rsidR="00000000" w:rsidRPr="00000000">
          <w:rPr>
            <w:rFonts w:ascii="Google Sans" w:cs="Google Sans" w:eastAsia="Google Sans" w:hAnsi="Google Sans"/>
            <w:color w:val="0000ee"/>
            <w:sz w:val="24"/>
            <w:szCs w:val="24"/>
            <w:u w:val="single"/>
            <w:rtl w:val="0"/>
          </w:rPr>
          <w:t xml:space="preserve">https://confluence.hl7.org/plugins/viewsource/viewpagesrc.action?pageId=248710029</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Subscriptions in FHIR (Fast Healthcare Interoperability Resources) - View Source, accessed February 26, 2026, </w:t>
      </w:r>
      <w:hyperlink r:id="rId18">
        <w:r w:rsidDel="00000000" w:rsidR="00000000" w:rsidRPr="00000000">
          <w:rPr>
            <w:rFonts w:ascii="Google Sans" w:cs="Google Sans" w:eastAsia="Google Sans" w:hAnsi="Google Sans"/>
            <w:color w:val="0000ee"/>
            <w:sz w:val="24"/>
            <w:szCs w:val="24"/>
            <w:u w:val="single"/>
            <w:rtl w:val="0"/>
          </w:rPr>
          <w:t xml:space="preserve">https://confluence.hl7.org/plugins/viewsource/viewpagesrc.action?pageId=248713379</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Subscriptions - View Source - HL7.org, accessed February 26, 2026, </w:t>
      </w:r>
      <w:hyperlink r:id="rId19">
        <w:r w:rsidDel="00000000" w:rsidR="00000000" w:rsidRPr="00000000">
          <w:rPr>
            <w:rFonts w:ascii="Google Sans" w:cs="Google Sans" w:eastAsia="Google Sans" w:hAnsi="Google Sans"/>
            <w:color w:val="0000ee"/>
            <w:sz w:val="24"/>
            <w:szCs w:val="24"/>
            <w:u w:val="single"/>
            <w:rtl w:val="0"/>
          </w:rPr>
          <w:t xml:space="preserve">https://confluence.hl7.org/plugins/viewsource/viewpagesrc.action?pageId=307298594</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MR.R4.CORE\Webhooks - FHIR v4.0.1 - MediRecords,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https://fhir.medirecords.com/webhooks.html</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Request Webhooks | FHIR API documentation - caredove | Stoplight,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https://caredove.stoplight.io/docs/api-documentation/83285b11063c8-service-request-webhooks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The Omaha System,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https://www.omahasystem.org/overview</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Omaha System,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https://www.omahasystem.org/</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Omaha System: Coded Data That Describe ... - Journal of AHIMA,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https://journal.ahima.org/Portals/0/archives/AHIMA%20files/Omaha%20System_%20Coded%20Data%20That%20Describe%20Patient%20Care.pdf</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Classification Scheme — The Omaha System,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https://www.omahasystem.org/problemclassificationscheme</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Conversation to Standardized Terminology: An LLM-RAG Approach for Automated Health Problem Identification in Home Healthcare - PMC,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https://pmc.ncbi.nlm.nih.gov/articles/PMC12849705/</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AI for Clinical Documentation: Reduce Burnout &amp; Save Time - Cabot Solutions,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https://www.cabotsolutions.com/blog/how-voice-ai-streamlines-clinical-documentation-and-reduces-burnout</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when using generative AI for clinical notes - Athenahealth,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https://www.athenahealth.com/resources/blog/best-practices-for-using-ai-for-clinical-notes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Training Clinical Staff on AI Medical Documentation - OmniMD,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https://omnimd.com/blog/ai-medical-documentation-training-best-practices/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HIPAA Compliance Starts at the Application Layer – Not the Cloud - Sidebench,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https://sidebench.com/why-hipaa-compliance-starts-at-the-application-layer-not-the-cloud/</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Wars: AWS vs Azure vs GCP for HIPAA Compliance (2025),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https://www.hipaavault.com/hipaa-hosting/cloud-wars-aws-vs-azure-vs-google-cloud-hipaa/</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Security Architecture for HIPAA-Ready Health Platforms - Intellivon,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https://intellivon.com/blogs/make-hipaa-security-architecture/</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Health Dev: Build HIPAA-Compliant Teams Fast - Maxiom Technology,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https://www.maxiomtech.com/remote-health-dev-build-hipaa-compliant-teams/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Cloud Providers for HIPAA Compliance | Censinet, Inc.,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https://censinet.com/perspectives/best-cloud-providers-hipaa-compliance</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HIPAA-Compliant Cloud Architecture: AWS vs Azure vs GCP - Taction Software, 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https://www.tactionsoft.com/blog/hipaa-compliant-cloud-architecture-aws-azure-gcp/</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Colorado AI Act? A Detailed Guide to SB 205 - AuditBoard,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https://auditboard.com/blog/what-is-the-colorado-ai-act</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Colorado AI Act Explained, AI Governance and Compliance - Adeptiv.AI,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https://adeptiv.ai/colorado-ai-act/</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Senate Bill 24-205 - Colorado General Assembly,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https://leg.colorado.gov/bill_files/47770/download</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Complying With Colorado's AI Law: Your SB24-205 Compliance Guide | TrustArc,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https://trustarc.com/resource/colorado-ai-law-sb24-205-compliance-guide/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Colorado AI Act (SB 205): Complete Compliance Guide 2026 - ALM Corp, accessed February 26, 2026, </w:t>
      </w:r>
      <w:hyperlink r:id="rId40">
        <w:r w:rsidDel="00000000" w:rsidR="00000000" w:rsidRPr="00000000">
          <w:rPr>
            <w:rFonts w:ascii="Google Sans" w:cs="Google Sans" w:eastAsia="Google Sans" w:hAnsi="Google Sans"/>
            <w:color w:val="0000ee"/>
            <w:sz w:val="24"/>
            <w:szCs w:val="24"/>
            <w:u w:val="single"/>
            <w:rtl w:val="0"/>
          </w:rPr>
          <w:t xml:space="preserve">https://almcorp.com/blog/colorado-ai-act-sb-205-compliance-guide/</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SB24-205 Consumer Protections for Artificial Intelligence | Colorado General Assembly, accessed February 26, 2026, </w:t>
      </w:r>
      <w:hyperlink r:id="rId41">
        <w:r w:rsidDel="00000000" w:rsidR="00000000" w:rsidRPr="00000000">
          <w:rPr>
            <w:rFonts w:ascii="Google Sans" w:cs="Google Sans" w:eastAsia="Google Sans" w:hAnsi="Google Sans"/>
            <w:color w:val="0000ee"/>
            <w:sz w:val="24"/>
            <w:szCs w:val="24"/>
            <w:u w:val="single"/>
            <w:rtl w:val="0"/>
          </w:rPr>
          <w:t xml:space="preserve">https://leg.colorado.gov/bills/sb24-205</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Prepared for the Babson-‐Equal Exchange Cooperative Curriculum Melissa Hoover, melissa@usworker.coop Posted 27 April 2011 1, accessed February 26, 2026, </w:t>
      </w:r>
      <w:hyperlink r:id="rId42">
        <w:r w:rsidDel="00000000" w:rsidR="00000000" w:rsidRPr="00000000">
          <w:rPr>
            <w:rFonts w:ascii="Google Sans" w:cs="Google Sans" w:eastAsia="Google Sans" w:hAnsi="Google Sans"/>
            <w:color w:val="0000ee"/>
            <w:sz w:val="24"/>
            <w:szCs w:val="24"/>
            <w:u w:val="single"/>
            <w:rtl w:val="0"/>
          </w:rPr>
          <w:t xml:space="preserve">https://rmfu.org/wp-content/uploads/Hoover-Overview-Worker-Cooperatives1.pdf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Equity Capital, Income and Patronage: How They Work Together - jason wiener, accessed February 26, 2026, </w:t>
      </w:r>
      <w:hyperlink r:id="rId43">
        <w:r w:rsidDel="00000000" w:rsidR="00000000" w:rsidRPr="00000000">
          <w:rPr>
            <w:rFonts w:ascii="Google Sans" w:cs="Google Sans" w:eastAsia="Google Sans" w:hAnsi="Google Sans"/>
            <w:color w:val="0000ee"/>
            <w:sz w:val="24"/>
            <w:szCs w:val="24"/>
            <w:u w:val="single"/>
            <w:rtl w:val="0"/>
          </w:rPr>
          <w:t xml:space="preserve">https://jrwiener.com/cooperative-equity-capital-income-and-patronage-how-they-work-together/</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Best Practices for Food Co-ops, accessed February 26, 2026, </w:t>
      </w:r>
      <w:hyperlink r:id="rId44">
        <w:r w:rsidDel="00000000" w:rsidR="00000000" w:rsidRPr="00000000">
          <w:rPr>
            <w:rFonts w:ascii="Google Sans" w:cs="Google Sans" w:eastAsia="Google Sans" w:hAnsi="Google Sans"/>
            <w:color w:val="0000ee"/>
            <w:sz w:val="24"/>
            <w:szCs w:val="24"/>
            <w:u w:val="single"/>
            <w:rtl w:val="0"/>
          </w:rPr>
          <w:t xml:space="preserve">https://resources.uwcc.wisc.edu/Grocery/accounting-best-practices-fc.pdf</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Patronage Dividends for Food Co-ops | Columinate, accessed February 26, 2026, </w:t>
      </w:r>
      <w:hyperlink r:id="rId45">
        <w:r w:rsidDel="00000000" w:rsidR="00000000" w:rsidRPr="00000000">
          <w:rPr>
            <w:rFonts w:ascii="Google Sans" w:cs="Google Sans" w:eastAsia="Google Sans" w:hAnsi="Google Sans"/>
            <w:color w:val="0000ee"/>
            <w:sz w:val="24"/>
            <w:szCs w:val="24"/>
            <w:u w:val="single"/>
            <w:rtl w:val="0"/>
          </w:rPr>
          <w:t xml:space="preserve">https://columinate.coop/wp-content/uploads/2015/02/Patronage-Dividend-Primer.pdf</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Ledger Implementation in PostgreSQL - Paul Gross, accessed February 26, 2026, </w:t>
      </w:r>
      <w:hyperlink r:id="rId46">
        <w:r w:rsidDel="00000000" w:rsidR="00000000" w:rsidRPr="00000000">
          <w:rPr>
            <w:rFonts w:ascii="Google Sans" w:cs="Google Sans" w:eastAsia="Google Sans" w:hAnsi="Google Sans"/>
            <w:color w:val="0000ee"/>
            <w:sz w:val="24"/>
            <w:szCs w:val="24"/>
            <w:u w:val="single"/>
            <w:rtl w:val="0"/>
          </w:rPr>
          <w:t xml:space="preserve">https://www.pgrs.net/2025/03/24/pgledger-ledger-implementation-in-postgresql/</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Medicaid Billing for Providers: Complete Guide - Medheave, accessed February 26, 2026, </w:t>
      </w:r>
      <w:hyperlink r:id="rId47">
        <w:r w:rsidDel="00000000" w:rsidR="00000000" w:rsidRPr="00000000">
          <w:rPr>
            <w:rFonts w:ascii="Google Sans" w:cs="Google Sans" w:eastAsia="Google Sans" w:hAnsi="Google Sans"/>
            <w:color w:val="0000ee"/>
            <w:sz w:val="24"/>
            <w:szCs w:val="24"/>
            <w:u w:val="single"/>
            <w:rtl w:val="0"/>
          </w:rPr>
          <w:t xml:space="preserve">https://medheave.com/medicaid-billing-for-providers/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Levridge Equity &amp; Patronage: Effortless Cooperative Member Management, accessed February 26, 2026, </w:t>
      </w:r>
      <w:hyperlink r:id="rId48">
        <w:r w:rsidDel="00000000" w:rsidR="00000000" w:rsidRPr="00000000">
          <w:rPr>
            <w:rFonts w:ascii="Google Sans" w:cs="Google Sans" w:eastAsia="Google Sans" w:hAnsi="Google Sans"/>
            <w:color w:val="0000ee"/>
            <w:sz w:val="24"/>
            <w:szCs w:val="24"/>
            <w:u w:val="single"/>
            <w:rtl w:val="0"/>
          </w:rPr>
          <w:t xml:space="preserve">https://www.levridge.com/solutions/equity-and-patronage/</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Patronage/Equity - AgTrax, accessed February 26, 2026, </w:t>
      </w:r>
      <w:hyperlink r:id="rId49">
        <w:r w:rsidDel="00000000" w:rsidR="00000000" w:rsidRPr="00000000">
          <w:rPr>
            <w:rFonts w:ascii="Google Sans" w:cs="Google Sans" w:eastAsia="Google Sans" w:hAnsi="Google Sans"/>
            <w:color w:val="0000ee"/>
            <w:sz w:val="24"/>
            <w:szCs w:val="24"/>
            <w:u w:val="single"/>
            <w:rtl w:val="0"/>
          </w:rPr>
          <w:t xml:space="preserve">https://agtrax.com/solutions/traxview/patronage-equity/</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Organizations - ARCHANGELS, accessed February 26, 2026, </w:t>
      </w:r>
      <w:hyperlink r:id="rId50">
        <w:r w:rsidDel="00000000" w:rsidR="00000000" w:rsidRPr="00000000">
          <w:rPr>
            <w:rFonts w:ascii="Google Sans" w:cs="Google Sans" w:eastAsia="Google Sans" w:hAnsi="Google Sans"/>
            <w:color w:val="0000ee"/>
            <w:sz w:val="24"/>
            <w:szCs w:val="24"/>
            <w:u w:val="single"/>
            <w:rtl w:val="0"/>
          </w:rPr>
          <w:t xml:space="preserve">https://www.archangels.me/for-organizations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Caregiver Intensity Index to RAISE and Engage Family Caregivers - ARCH National Respite Network, accessed February 26, 2026, </w:t>
      </w:r>
      <w:hyperlink r:id="rId51">
        <w:r w:rsidDel="00000000" w:rsidR="00000000" w:rsidRPr="00000000">
          <w:rPr>
            <w:rFonts w:ascii="Google Sans" w:cs="Google Sans" w:eastAsia="Google Sans" w:hAnsi="Google Sans"/>
            <w:color w:val="0000ee"/>
            <w:sz w:val="24"/>
            <w:szCs w:val="24"/>
            <w:u w:val="single"/>
            <w:rtl w:val="0"/>
          </w:rPr>
          <w:t xml:space="preserve">https://archrespite.org/wp-content/uploads/2025/04/Using-the-Caregiver-Intensity-Index-to-RAISE-and-Engage-Family-Caregivers.pdf</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Caregiver Intensity Score Index - The Coalition to Transform Advanced Care, accessed February 26, 2026, </w:t>
      </w:r>
      <w:hyperlink r:id="rId52">
        <w:r w:rsidDel="00000000" w:rsidR="00000000" w:rsidRPr="00000000">
          <w:rPr>
            <w:rFonts w:ascii="Google Sans" w:cs="Google Sans" w:eastAsia="Google Sans" w:hAnsi="Google Sans"/>
            <w:color w:val="0000ee"/>
            <w:sz w:val="24"/>
            <w:szCs w:val="24"/>
            <w:u w:val="single"/>
            <w:rtl w:val="0"/>
          </w:rPr>
          <w:t xml:space="preserve">https://thectac.org/asset/blog/caregiver-intensity-score-index/</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Preparedness for Caregiving Scale | HIGN - Hartford Institute for Geriatric Nursing, accessed February 26, 2026, </w:t>
      </w:r>
      <w:hyperlink r:id="rId53">
        <w:r w:rsidDel="00000000" w:rsidR="00000000" w:rsidRPr="00000000">
          <w:rPr>
            <w:rFonts w:ascii="Google Sans" w:cs="Google Sans" w:eastAsia="Google Sans" w:hAnsi="Google Sans"/>
            <w:color w:val="0000ee"/>
            <w:sz w:val="24"/>
            <w:szCs w:val="24"/>
            <w:u w:val="single"/>
            <w:rtl w:val="0"/>
          </w:rPr>
          <w:t xml:space="preserve">https://hign.org/consultgeri/try-this-series/preparedness-caregiving-scale</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Family Caregiver Readiness for Hospital Discharge of Patients With Serious or Life‐Limiting Illness Using Electronic Health Record and Self‐Reported Data - PMC, accessed February 26,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https://pmc.ncbi.nlm.nih.gov/articles/PMC12277104/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mcorp.com/blog/colorado-ai-act-sb-205-compliance-guide/" TargetMode="External"/><Relationship Id="rId42" Type="http://schemas.openxmlformats.org/officeDocument/2006/relationships/hyperlink" Target="https://rmfu.org/wp-content/uploads/Hoover-Overview-Worker-Cooperatives1.pdf" TargetMode="External"/><Relationship Id="rId41" Type="http://schemas.openxmlformats.org/officeDocument/2006/relationships/hyperlink" Target="https://leg.colorado.gov/bills/sb24-205" TargetMode="External"/><Relationship Id="rId44" Type="http://schemas.openxmlformats.org/officeDocument/2006/relationships/hyperlink" Target="https://resources.uwcc.wisc.edu/Grocery/accounting-best-practices-fc.pdf" TargetMode="External"/><Relationship Id="rId43" Type="http://schemas.openxmlformats.org/officeDocument/2006/relationships/hyperlink" Target="https://jrwiener.com/cooperative-equity-capital-income-and-patronage-how-they-work-together/" TargetMode="External"/><Relationship Id="rId46" Type="http://schemas.openxmlformats.org/officeDocument/2006/relationships/hyperlink" Target="https://www.pgrs.net/2025/03/24/pgledger-ledger-implementation-in-postgresql/" TargetMode="External"/><Relationship Id="rId45" Type="http://schemas.openxmlformats.org/officeDocument/2006/relationships/hyperlink" Target="https://columinate.coop/wp-content/uploads/2015/02/Patronage-Dividend-Prim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levridge.com/solutions/equity-and-patronage/" TargetMode="External"/><Relationship Id="rId47" Type="http://schemas.openxmlformats.org/officeDocument/2006/relationships/hyperlink" Target="https://medheave.com/medicaid-billing-for-providers/" TargetMode="External"/><Relationship Id="rId49" Type="http://schemas.openxmlformats.org/officeDocument/2006/relationships/hyperlink" Target="https://agtrax.com/solutions/traxview/patronage-equit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31" Type="http://schemas.openxmlformats.org/officeDocument/2006/relationships/hyperlink" Target="https://www.hipaavault.com/hipaa-hosting/cloud-wars-aws-vs-azure-vs-google-cloud-hipaa/" TargetMode="External"/><Relationship Id="rId30" Type="http://schemas.openxmlformats.org/officeDocument/2006/relationships/hyperlink" Target="https://sidebench.com/why-hipaa-compliance-starts-at-the-application-layer-not-the-cloud/" TargetMode="External"/><Relationship Id="rId33" Type="http://schemas.openxmlformats.org/officeDocument/2006/relationships/hyperlink" Target="https://www.maxiomtech.com/remote-health-dev-build-hipaa-compliant-teams/" TargetMode="External"/><Relationship Id="rId32" Type="http://schemas.openxmlformats.org/officeDocument/2006/relationships/hyperlink" Target="https://intellivon.com/blogs/make-hipaa-security-architecture/" TargetMode="External"/><Relationship Id="rId35" Type="http://schemas.openxmlformats.org/officeDocument/2006/relationships/hyperlink" Target="https://www.tactionsoft.com/blog/hipaa-compliant-cloud-architecture-aws-azure-gcp/" TargetMode="External"/><Relationship Id="rId34" Type="http://schemas.openxmlformats.org/officeDocument/2006/relationships/hyperlink" Target="https://censinet.com/perspectives/best-cloud-providers-hipaa-compliance" TargetMode="External"/><Relationship Id="rId37" Type="http://schemas.openxmlformats.org/officeDocument/2006/relationships/hyperlink" Target="https://adeptiv.ai/colorado-ai-act/" TargetMode="External"/><Relationship Id="rId36" Type="http://schemas.openxmlformats.org/officeDocument/2006/relationships/hyperlink" Target="https://auditboard.com/blog/what-is-the-colorado-ai-act" TargetMode="External"/><Relationship Id="rId39" Type="http://schemas.openxmlformats.org/officeDocument/2006/relationships/hyperlink" Target="https://trustarc.com/resource/colorado-ai-law-sb24-205-compliance-guide/" TargetMode="External"/><Relationship Id="rId38" Type="http://schemas.openxmlformats.org/officeDocument/2006/relationships/hyperlink" Target="https://leg.colorado.gov/bill_files/47770/download" TargetMode="External"/><Relationship Id="rId20" Type="http://schemas.openxmlformats.org/officeDocument/2006/relationships/hyperlink" Target="https://fhir.medirecords.com/webhooks.html" TargetMode="External"/><Relationship Id="rId22" Type="http://schemas.openxmlformats.org/officeDocument/2006/relationships/hyperlink" Target="https://www.omahasystem.org/overview" TargetMode="External"/><Relationship Id="rId21" Type="http://schemas.openxmlformats.org/officeDocument/2006/relationships/hyperlink" Target="https://caredove.stoplight.io/docs/api-documentation/83285b11063c8-service-request-webhooks" TargetMode="External"/><Relationship Id="rId24" Type="http://schemas.openxmlformats.org/officeDocument/2006/relationships/hyperlink" Target="https://journal.ahima.org/Portals/0/archives/AHIMA%20files/Omaha%20System_%20Coded%20Data%20That%20Describe%20Patient%20Care.pdf" TargetMode="External"/><Relationship Id="rId23" Type="http://schemas.openxmlformats.org/officeDocument/2006/relationships/hyperlink" Target="https://www.omahasystem.org/" TargetMode="External"/><Relationship Id="rId26" Type="http://schemas.openxmlformats.org/officeDocument/2006/relationships/hyperlink" Target="https://pmc.ncbi.nlm.nih.gov/articles/PMC12849705/" TargetMode="External"/><Relationship Id="rId25" Type="http://schemas.openxmlformats.org/officeDocument/2006/relationships/hyperlink" Target="https://www.omahasystem.org/problemclassificationscheme" TargetMode="External"/><Relationship Id="rId28" Type="http://schemas.openxmlformats.org/officeDocument/2006/relationships/hyperlink" Target="https://www.athenahealth.com/resources/blog/best-practices-for-using-ai-for-clinical-notes" TargetMode="External"/><Relationship Id="rId27" Type="http://schemas.openxmlformats.org/officeDocument/2006/relationships/hyperlink" Target="https://www.cabotsolutions.com/blog/how-voice-ai-streamlines-clinical-documentation-and-reduces-burnout" TargetMode="External"/><Relationship Id="rId29" Type="http://schemas.openxmlformats.org/officeDocument/2006/relationships/hyperlink" Target="https://omnimd.com/blog/ai-medical-documentation-training-best-practices/" TargetMode="External"/><Relationship Id="rId51" Type="http://schemas.openxmlformats.org/officeDocument/2006/relationships/hyperlink" Target="https://archrespite.org/wp-content/uploads/2025/04/Using-the-Caregiver-Intensity-Index-to-RAISE-and-Engage-Family-Caregivers.pdf" TargetMode="External"/><Relationship Id="rId50" Type="http://schemas.openxmlformats.org/officeDocument/2006/relationships/hyperlink" Target="https://www.archangels.me/for-organizations" TargetMode="External"/><Relationship Id="rId53" Type="http://schemas.openxmlformats.org/officeDocument/2006/relationships/hyperlink" Target="https://hign.org/consultgeri/try-this-series/preparedness-caregiving-scale" TargetMode="External"/><Relationship Id="rId52" Type="http://schemas.openxmlformats.org/officeDocument/2006/relationships/hyperlink" Target="https://thectac.org/asset/blog/caregiver-intensity-score-index/" TargetMode="External"/><Relationship Id="rId11" Type="http://schemas.openxmlformats.org/officeDocument/2006/relationships/hyperlink" Target="https://www.prnewswire.com/news-releases/bwell-connected-health-unveils-bailey-a-ready-to-deploy-white-label-health-ai-assistant-302694299.html" TargetMode="External"/><Relationship Id="rId10" Type="http://schemas.openxmlformats.org/officeDocument/2006/relationships/image" Target="media/image3.png"/><Relationship Id="rId54" Type="http://schemas.openxmlformats.org/officeDocument/2006/relationships/hyperlink" Target="https://pmc.ncbi.nlm.nih.gov/articles/PMC12277104/" TargetMode="External"/><Relationship Id="rId13" Type="http://schemas.openxmlformats.org/officeDocument/2006/relationships/hyperlink" Target="https://resources.icanbwell.com/bwell-launches-the-first-ever-sdk-for-health-ai-assistants/" TargetMode="External"/><Relationship Id="rId12" Type="http://schemas.openxmlformats.org/officeDocument/2006/relationships/hyperlink" Target="https://hlth.com/insights/news/b-well-connected-health-launches-bailey-a-turnkey-white-label-health-ai-assistant-2026-02-24" TargetMode="External"/><Relationship Id="rId15" Type="http://schemas.openxmlformats.org/officeDocument/2006/relationships/hyperlink" Target="https://wellsky.dynamicfhir.com/wellsky/basepractice/r4/Home/ApiDocumentation" TargetMode="External"/><Relationship Id="rId14" Type="http://schemas.openxmlformats.org/officeDocument/2006/relationships/hyperlink" Target="https://api.dynamicfhir.com/dhit/b.well/r4" TargetMode="External"/><Relationship Id="rId17" Type="http://schemas.openxmlformats.org/officeDocument/2006/relationships/hyperlink" Target="https://confluence.hl7.org/plugins/viewsource/viewpagesrc.action?pageId=248710029" TargetMode="External"/><Relationship Id="rId16" Type="http://schemas.openxmlformats.org/officeDocument/2006/relationships/hyperlink" Target="https://emorphis.health/blogs/scalable-healthcare-integration-architecture/" TargetMode="External"/><Relationship Id="rId19" Type="http://schemas.openxmlformats.org/officeDocument/2006/relationships/hyperlink" Target="https://confluence.hl7.org/plugins/viewsource/viewpagesrc.action?pageId=307298594" TargetMode="External"/><Relationship Id="rId18" Type="http://schemas.openxmlformats.org/officeDocument/2006/relationships/hyperlink" Target="https://confluence.hl7.org/plugins/viewsource/viewpagesrc.action?pageId=2487133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