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Comprehensive Analysis of co-op.care Technologies LLC: Federated Business Models, Clinical Data Architectures, and Federal Payment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American healthcare system faces a structural collapse in home-based care delivery, evidenced by a national median caregiver wage of $16.77 per hour and an annual turnover rate that consistently exceeds 77%.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systemic failure is driven by an extractive agency model that captures 40% to 60% of family payments for administrative overhead and shareholder dividends, leaving both the provider and the recipient in a state of economic and clinical vulnerability.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co-op.care Technologies LLC represents a radical departure from this paradigm, proposing a worker-owned cooperative model underpinned by an enterprise-grade clinical data platform and a multi-layered federal payment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analysis evaluates the foundational business model, the technical specifications of the CareOS platform, and the exhaustive execution strategy required to navigate the complex regulatory and clinical landscape of the next decade.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Federated Cooperative Business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innovation of co-op.care lies in its rejection of traditional venture-backed extraction in favor of a federated cooperative 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model, influenced by the Mondragon Corporation’s success in Spain, separates the technology and intellectual property from the operational risks of care delivery.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establishing co-op.care Technologies LLC as a "Hard Shell" that manages capital, compliance, and clinical AI, the organization can scale enterprise-grade infrastructure to local, worker-owned "Soft Centers"—the individual cooperatives where care is actually delivered.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Three-Layer Federation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federated model is designed to solve the problem of scaling local, mission-driven organizations without sacrificing the technical sophistication required for federal contracting.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structure ensures that while the technology platform remains centralized and robust, the economic benefits of labor remain with the workers in each local municipality.</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Assets &amp;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co-op.care Technologies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&amp; IP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CareOS, FHIR Infrastructure, Payer Contracts, AI/ML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[City] Cooperative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Clinical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Caregiving Labor, Employment (W-2), Patient Relationships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Federation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 &amp;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Integrity, Quality Training, Shared Purchasing Power</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structural separation allows Layer 1 to absorb the technical and contracting risks associated with CMS innovation models like ACCESS, while Layer 2 focuses on mitigating clinical liability and employment risks.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mathematical foundation of this model is the patronage-based distribution system, which ensures that surplus value is returned to those who contribute labor rather than external investors.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Mechanics and Patronage Dividends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cooperative framework, profit is redefined as "net distributable surplus".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surplus is allocated to worker-owners based on their patronage—measured by hours worked or wages earned—rather than capital contribution.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creates a direct incentive for retention and quality, as a caregiver's financial upside is inextricably linked to the cooperative's operational efficiency and patient satisfaction.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model for calculating a member's patronage dividend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 the member’s labor hours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total hours of all members (</w:t>
      </w:r>
      <w:r w:rsidDel="00000000" w:rsidR="00000000" w:rsidRPr="00000000">
        <w:rPr>
          <w:rFonts w:ascii="Google Sans" w:cs="Google Sans" w:eastAsia="Google Sans" w:hAnsi="Google Sans"/>
          <w:color w:val="1f1f1f"/>
        </w:rPr>
        <w:drawing>
          <wp:inline distB="19050" distT="19050" distL="19050" distR="19050">
            <wp:extent cx="427732" cy="22812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7732" cy="228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net distributable surplus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fiscal period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989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5198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Compliance with Subchapter T of the Internal Revenue Code requires that at least 20% of this dividend be distributed in cash, while the remaining 80% can be retained as equity to fund infrastructure and growth.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retained equity is recorded as a member-specific asset and is returned through an "equity revolvement" process on a vintage year schedule, typically every 5 to 10 years.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caregiver, this creates a path to meaningful wealth, with projections suggesting up to $52,000 in equity accumulation over a five-year period.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Economic Positioning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co-op.care model achieves price parity with traditional agencies while significantly increasing caregiver compensation.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technology to automate the coordination overhead that typically consumes the majority of agency margins, the cooperative model reallocates capital to the point of care.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co-op.care Cooperative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Typical Hourly Bill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Caregiver Base 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$13–$17 (1099/Gig)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$25–$28 (W-2)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Extraction /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Retention Incentives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Equity &amp; Patronage Dividends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Family 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25%–37% via HSA/FSA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clinical implication of this economic shift is a target turnover rate of less than 15%, compared to the industry standard of 77%.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Low turnover is a critical safety metric; consistent care allows for the detection of subtle physiological or behavioral changes that high-turnover models inevitably miss.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The CareOS Ecosystem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CareOS is the clinical intelligence engine that powers the federation.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designed to solve the "documentation fatigue" that plagues home care by replacing manual entry with a natural language processing (NLP) pipeline that transforms narrative observations into structured, interoperable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4-Layer Safety Model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is built on the premise that AI alone is insufficient for clinical care.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a 2026 Mount Sinai study identifying a 52% under-triage rate in autonomous AI models, co-op.care implements a multi-layered safety model where humans and physicians provide the necessary grounding for AI-generated insights.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Safety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CareOS Clinical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 Parsing &amp; Pattern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documentation fatigue and missed longitudinal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Omaha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Clinical Taxonomy &amp; Human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AI hallucinations and ensures billing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Cooperative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Worker-Owner Observations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continuity and detection of non-sensor cues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Physician Oversight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MD/DO Clinical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scope violations and ensures medical necessity</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ensures that AI processes the data, but humans—specifically worker-owners and licensed physicians—make the final clinical decisions.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"human-in-the-loop" design is not only a safety preference but a legal requirement under emerging regulations like the Colorado AI Act (SB 24-205).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CareOS NLP and Documentation Pipeline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voice to billing code is a deterministic, five-stage process.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pipeline is designed to be "interoperability-first," ensuring that every observation is captured in a format that can be ingested by hospital systems and federal payers.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Stage 1: Ambient Capture &amp; Data Ingestion</w:t>
      </w:r>
      <w:r w:rsidDel="00000000" w:rsidR="00000000" w:rsidRPr="00000000">
        <w:rPr>
          <w:rFonts w:ascii="Google Sans" w:cs="Google Sans" w:eastAsia="Google Sans" w:hAnsi="Google Sans"/>
          <w:color w:val="1f1f1f"/>
          <w:rtl w:val="0"/>
        </w:rPr>
        <w:t xml:space="preserve">: The caregiver records narrative shift notes via the mobile application.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stage includes speaker diarization to differentiate between the caregiver, the patient, and family members.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Stage 2: NLP Entity Extraction</w:t>
      </w:r>
      <w:r w:rsidDel="00000000" w:rsidR="00000000" w:rsidRPr="00000000">
        <w:rPr>
          <w:rFonts w:ascii="Google Sans" w:cs="Google Sans" w:eastAsia="Google Sans" w:hAnsi="Google Sans"/>
          <w:color w:val="1f1f1f"/>
          <w:rtl w:val="0"/>
        </w:rPr>
        <w:t xml:space="preserve">: Utilizing GPT-4o-mini with retrieval-augmented generation (RAG), the system extracts vital signs, behavioral observations, and clinical intents into structured JSON.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Stage 3: Omaha System Mapping</w:t>
      </w:r>
      <w:r w:rsidDel="00000000" w:rsidR="00000000" w:rsidRPr="00000000">
        <w:rPr>
          <w:rFonts w:ascii="Google Sans" w:cs="Google Sans" w:eastAsia="Google Sans" w:hAnsi="Google Sans"/>
          <w:color w:val="1f1f1f"/>
          <w:rtl w:val="0"/>
        </w:rPr>
        <w:t xml:space="preserve">: Extracted intents are mapped to the Omaha System, a research-based taxonomy of 42 problem classifications and 75 intervention targets.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Stage 4: FHIR R4 Serialization</w:t>
      </w:r>
      <w:r w:rsidDel="00000000" w:rsidR="00000000" w:rsidRPr="00000000">
        <w:rPr>
          <w:rFonts w:ascii="Google Sans" w:cs="Google Sans" w:eastAsia="Google Sans" w:hAnsi="Google Sans"/>
          <w:color w:val="1f1f1f"/>
          <w:rtl w:val="0"/>
        </w:rPr>
        <w:t xml:space="preserve">: The Omaha-coded data is converted into FHIR R4 Observation, Condition, and CarePlan resources.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Stage 5: Billing Code &amp; EVV Generation</w:t>
      </w:r>
      <w:r w:rsidDel="00000000" w:rsidR="00000000" w:rsidRPr="00000000">
        <w:rPr>
          <w:rFonts w:ascii="Google Sans" w:cs="Google Sans" w:eastAsia="Google Sans" w:hAnsi="Google Sans"/>
          <w:color w:val="1f1f1f"/>
          <w:rtl w:val="0"/>
        </w:rPr>
        <w:t xml:space="preserve">: The system automatically generates CMS-compliant billing codes (PIN/CHI) and attaches GPS-timestamped Electronic Visit Verification (EVV) records.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precision of this pipeline is critical for financial viability. By mapping observations directly to the Omaha System’s Knowledge-Behavior-Status (KBS) scale, the platform can quantitatively track whether a patient is meeting the Outcome Attainment Thresholds (OAT) required for federal payment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Infrastructure: The Health Samurai Aidbox Platform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data layer of CareOS is powered by Health Samurai Aidbox, a FHIR-native backend designed for high-concurrency healthcare workloads.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Aidbox distinguishes itself from generic data stores by treating the FHIR standard as its internal grammar, facilitating deep interoperability without the need for complex translation layers.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Metadata-Driven Architecture and the JVM Stack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Aidbox is constructed using a Clojure application server on the Java Virtual Machine (JVM).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stack is optimized for immutable data structures, which is an essential requirement for maintaining the integrity of longitudinal clinical records.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system component—from API endpoints to access control policies—is represented as a "meta-resource" that can be manipulated via a unified REST API.</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storage model utilizes PostgreSQL with a JSONB data type, offering a unique combination of document-store flexibility and relational rigor.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prevent the "table explosion" typical of traditional relational healthcare databases, Aidbox assigns exactly two tables to each FHIR resource type: a main table for the current state and a history table for version persistence.</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persistent resource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transaction ID for cross-resource ordering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Binary JSON representation of the FHIR 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Commit timestamp for the specific 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Immutable creation timestamp of the original resource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txid shared across all tables ensures that multi-resource transactions remain consistent, allowing the system to reconstruct the exact state of the clinical database at any point in history—a requirement for forensic auditing and complex clinical research.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Terminology and Interoperability Modules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CareOS leverages Aidbox’s Termbox terminology server to manage the Omaha System taxonomy alongside standard coding systems like ICD-10, SNOMED CT, and LOINC.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enables real-time crosswalking between care-centric documentation (Omaha) and billing-centric documentation (ICD-10).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Aidbox HL7 v2 pipeline transforms legacy ADT (Admission, Discharge, Transfer) messages into FHIR resources, allowing co-op.care to initiate "Safe Graduation" protocols the moment a patient is discharged from a partner hospital like Boulder Community Health.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5-Rail Federal Revenue Integration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resilience of co-op.care is derived from its ability to stack multiple revenue streams atop the same clinical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adhering to the "Capture Once, Route Many" principle, the platform ensures that a single documented encounter generates payments across federal innovation models, fee-for-service codes, and private-pay arrangements.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1: The CMS ACCESS Model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Advancing Chronic Care with Effective, Scalable Solutions (ACCESS) Model is a 10-year national test of outcome-aligned payments.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rewards participants for achieving measurable health improvements in beneficiaries with chronic conditions.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co-op.care intends to participate in the Early Cardio-Kidney-Metabolic (eCKM) track, targeting conditions like hypertension, obesity, and prediabetes.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for Success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 OAP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Quarterly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Successful enrollment &amp; baseline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Outcome Payment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Withheld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Outcome Attainment Threshold (OAT) &gt;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Per-service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Documented referral &amp; update sharing with PCPs</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ACCESS model is strategically critical because it rewards the prevention of condition escalation, providing $360 to $420 per beneficiary per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the model allows participants to report outcomes via FHIR-based APIs, directly leveraging the CareOS/Aidbox infrastructure.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2: PIN/CHI Fee-for-Service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Medicare’s Principal Illness Navigation (PIN) and Community Health Integration (CHI) codes allow for monthly billing of care coordination services.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codes, such as G0023 and G0019, provide approximately $85 to $120 per patient per month.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these services are performed by "auxiliary personnel" under physician supervision, they represent a scalable revenue rail that pays for the cooperative’s coordination labor.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3: LEAD Model Shared Savings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Long-term Enhanced ACO Design (LEAD) Model replaces ACO REACH in 2027 and runs through 2036.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co-op.care’s strategy is to partner with existing ACOs as a preferred downstream provider for high-needs, homebound populations.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10-year horizon of LEAD provides the financial stability required for long-term cooperative investment, while the CARA (CMS Administered Risk Arrangements) initiative enables episode-based risk arrangements specifically for falls prevention—a core clinical focus of the CareOS CRI assessment.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4: PACE Sub-Capitation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Programs of All-Inclusive Care for the Elderly (PACE) receive a capitated monthly payment (averaging $3,500) to manage all patient needs.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co-op.care’s role as a sub-capitated provider allows it to capture the margin between delivery cost and the PACE rate.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margin is then used to capitalize the community Time Bank and provide stipends to family caregivers who support the professional team.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5: Private Pay and Employer B2B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rail consists of direct family payments and employer benefits.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designating care as "medically necessary" through the physician Clinical Director, co-op.care enables families to use HSA/FSA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effectively reduces the out-of-pocket cost for families by 25% to 37%.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organization is pitching school districts (like BVSD) on a $6 PMPM fee to provide the CII burnout assessment as a benefit for employees caring for aging parents.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Framework and Compliance Strategy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Navigating the healthcare regulatory landscape requires a security posture that exceeds basic encryption.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co-op.care implements a multi-layered compliance strategy addressing HIPAA, state-level AI regulations, and state home care licensure.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HIPAA and the Zero-Trust Identity Layer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utilizes an AccessPolicy engine that supports both Attribute-Based (ABAC) and Relationship-Based (ReBAC) access control.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ensures that caregivers can only access the PHI of patients they are currently assigned to, while the Clinical Director maintains a global view of all care plans.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All data is encrypted at rest using AES-256 and in transit via TLS 1.2+, with field-level tokenization applied before any data enters the analytics pipeline for machine learning.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Colorado AI Act (SB 24-205) Compliance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first comprehensive state-level AI regulation, the Colorado AI Act mandates strict transparency and human oversight for AI systems involved in "consequential decisions" like healthcare.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co-op.care builds this compliance into the architecture from day one: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 Assessments</w:t>
      </w:r>
      <w:r w:rsidDel="00000000" w:rsidR="00000000" w:rsidRPr="00000000">
        <w:rPr>
          <w:rFonts w:ascii="Google Sans" w:cs="Google Sans" w:eastAsia="Google Sans" w:hAnsi="Google Sans"/>
          <w:color w:val="1f1f1f"/>
          <w:rtl w:val="0"/>
        </w:rPr>
        <w:t xml:space="preserve">: Formal annual evaluations of the AI system's purpose, data inputs, and risks of algorithmic discrimination.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Transparency Statements</w:t>
      </w:r>
      <w:r w:rsidDel="00000000" w:rsidR="00000000" w:rsidRPr="00000000">
        <w:rPr>
          <w:rFonts w:ascii="Google Sans" w:cs="Google Sans" w:eastAsia="Google Sans" w:hAnsi="Google Sans"/>
          <w:color w:val="1f1f1f"/>
          <w:rtl w:val="0"/>
        </w:rPr>
        <w:t xml:space="preserve">: Public-facing documentation summarizing the types of high-risk AI systems used and the risk management strategies in place.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Human-in-the-Loop</w:t>
      </w:r>
      <w:r w:rsidDel="00000000" w:rsidR="00000000" w:rsidRPr="00000000">
        <w:rPr>
          <w:rFonts w:ascii="Google Sans" w:cs="Google Sans" w:eastAsia="Google Sans" w:hAnsi="Google Sans"/>
          <w:color w:val="1f1f1f"/>
          <w:rtl w:val="0"/>
        </w:rPr>
        <w:t xml:space="preserve">: An architectural block preventing any AI-generated clinical note or assessment from becoming part of a permanent medical record without a human approval event.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Correction Rights</w:t>
      </w:r>
      <w:r w:rsidDel="00000000" w:rsidR="00000000" w:rsidRPr="00000000">
        <w:rPr>
          <w:rFonts w:ascii="Google Sans" w:cs="Google Sans" w:eastAsia="Google Sans" w:hAnsi="Google Sans"/>
          <w:color w:val="1f1f1f"/>
          <w:rtl w:val="0"/>
        </w:rPr>
        <w:t xml:space="preserve">: A member-initiated workflow allowing consumers to correct personal data used by AI in making care matching or acuity decisions.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CDPHE Licensure and Clinical Governance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Colorado, delivering home care requires a Class A Home Care Agency license from the CDPHE.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license necessitates a physician Medical Director and a Director of Nursing (RN) to supervise clinical operations.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co-op.care’s architecture satisfies these requirements through the Layer 4 physician oversight and the structured Policies &amp; Procedures manual integrated into the CareOS admin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CareCheck Assessment Suite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Patient acquisition and triage are managed through the CareCheck suite, comprising the Caregiver Intensity Index (CII) and the Care Readiness Index (CRI).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tools serve as the front door to the platform, moving families from a state of crisis to a structured, clinically-informed care plan.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 Intensity Index (CII)</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CII is a predictive health monitoring tool designed to detect burnout before it results in a crisis for the family or the aging adult.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measures 12 dimensions of stress, including sleep disruption, financial strain, and "care fragility" (the lack of a backup plan).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&amp; Operational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12–45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Manageable load. Time Bank enrollment &amp; safety net building.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46–85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Significant strain. Active care coordination &amp; respite scheduling.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86–120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 burnout. Emergency respite deployment &amp; Clinical Director alert.</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 Readiness Index (CRI)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 is a 14-factor acuity assessment evaluating the aging adult’s needs across physical, cognitive, and environmental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utilizes clinically-weighted factors to determine the appropriate service tier.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"Cognition &amp; Memory" carries a 1.3x weight, while "Fall Risk" carries a 1.1x weight to reflect the increased monitoring and labor requirements of these conditions.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Acuity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$400–$1,200/mo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Errands, light housekeeping, socialization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$1,200–$2,400/mo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 care, meds, mobility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$2,400–$4,200/mo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Dementia care, complex medical, night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$4,200–$7,500/mo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 care, hospice support, high-acuity medical</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 serves a dual purpose: it establishes the baseline for the ACCESS Model Outcome Attainment Thresholds and provides the actuarial data needed for the organization's future captive insurance product.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Plan: From Architecture to Revenue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strategy is defined by a 33-day engineering sprint and a parallel 90-day action plan focused on physician recruitment and licensure.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primary bottleneck is the Clinical Director; every other component of the revenue pipeline cascades from this hire.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33-Day Cohesion Sprint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Jacob and the Cohesion team are tasked with building the minimum viable infrastructure required for the April 1 ACCESS Model application.</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Milestones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Aidbox Setup &amp;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HIPAA cloud environment verified; CII prototype live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 &amp; Resource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Fall-risk weighting logic; Omaha-to-FHIR crosswalk draft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 &amp; Billing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Caregiver note-to-FHIR pipeline; PIN/CHI billing prototype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ACCESS application draft; outcome tracking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Submission &amp;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 application submitted (Apr 1); production verification</w:t>
            </w:r>
          </w:p>
        </w:tc>
      </w:tr>
    </w:tbl>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Action Plan and Dependency Chain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90 days are focused on closing the gaps between the current technical architecture and the generation of revenue.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dependency chain is clear: the physician unlocks Medicare enrollment, which unlocks the ACCESS application, which enables institutional contracts.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Weeks 1–3 (Physician Recruitment)</w:t>
      </w:r>
      <w:r w:rsidDel="00000000" w:rsidR="00000000" w:rsidRPr="00000000">
        <w:rPr>
          <w:rFonts w:ascii="Google Sans" w:cs="Google Sans" w:eastAsia="Google Sans" w:hAnsi="Google Sans"/>
          <w:color w:val="1f1f1f"/>
          <w:rtl w:val="0"/>
        </w:rPr>
        <w:t xml:space="preserve">: The objective is to secure an MD/DO with an active Colorado license and existing Medicare PECOS enrollment.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Recruitment focuses on Direct Primary Care (DPC) physicians, palliative care specialists, and recently retired faculty who are philosophically aligned with cooperative economics.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Weeks 4–8 (Licensing &amp; Enrollment)</w:t>
      </w:r>
      <w:r w:rsidDel="00000000" w:rsidR="00000000" w:rsidRPr="00000000">
        <w:rPr>
          <w:rFonts w:ascii="Google Sans" w:cs="Google Sans" w:eastAsia="Google Sans" w:hAnsi="Google Sans"/>
          <w:color w:val="1f1f1f"/>
          <w:rtl w:val="0"/>
        </w:rPr>
        <w:t xml:space="preserve">: Once the physician is committed, the organization files the CMS-855B for group Medicare enrollment and submits the CDPHE Class A license application.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phase also includes the formal pilot proposal to Boulder Community Health (BCH) targeting "blocked beds" and readmission prevention.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Weeks 8–13 (Launch &amp; First Revenue)</w:t>
      </w:r>
      <w:r w:rsidDel="00000000" w:rsidR="00000000" w:rsidRPr="00000000">
        <w:rPr>
          <w:rFonts w:ascii="Google Sans" w:cs="Google Sans" w:eastAsia="Google Sans" w:hAnsi="Google Sans"/>
          <w:color w:val="1f1f1f"/>
          <w:rtl w:val="0"/>
        </w:rPr>
        <w:t xml:space="preserve">: The fastest path to revenue is the private-pay sale of CII/CRI assessments ($150–$300 each), which can begin as soon as the platform is live and the physician is supervising the outputs.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is followed by the launch of W-2 home care delivery once the CDPHE license is approved.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Long-Term Outlook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co-op.care project is a comprehensive attempt to solve the care crisis through architectural sovereignty and economic alignment.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a FHIR-native data backbone, the organization is not just a service provider but a high-fidelity data refinery that can prove its clinical outcomes to federal payers.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moat of co-op.care is its integration of three disparate domains: healthcare interoperability (Aidbox/FHIR), clinical taxonomy (Omaha System), and cooperative tax and labor law.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Traditional agencies lack the technical depth to participate in models like ACCESS or LEAD, while technology-only startups lack the local, stable labor required to satisfy patient needs.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2028, the organization’s goal is to transition from a service provider to an insurance-risk-bearing entity.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 18 months of structured clinical data on 500+ families, the federation will have the actuarial foundation to launch a captive insurance "Stay at Home" product.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product will provide the ultimate solution for the "Alpha Daughter"—the primary demographic of exhausted 45–60-year-old women—by providing a pre-funded, clinically-supervised safety net that ensures their parents can age in place with dignity and security.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logic of the neighborhood, combined with the power of federal payment rails and clinical AI, creates an unassailable model for the future of domestic care.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coop-care-architecture-complete.docx</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coop-care-platform-architecture-v1.docx</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gem-03-operational-protocol.md</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Quality For Jacob</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Health Samurai's Aidbox Platform</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Technical Frequently Asked Questions - CMS,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https://www.cms.gov/priorities/innovation/access-technical-frequently-asked-questions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(Advancing Chronic Care with Effective, Scalable Solutions) Model | CMS,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https://www.cms.gov/priorities/innovation/innovation-models/access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LEAD-ing the Future of ACOs: New Long-term Enhanced ACO Design Model,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https://www.foley.com/p/102lzhb/lead-ing-the-future-of-acos-new-long-term-enhanced-aco-design-model/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 Model: CMS's New Approach to Accountable Care - CHESS Health Solutions,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https://www.chesshealthsolutions.com/2026/02/10/the-lead-model-cmss-new-approach-to-accountable-care/</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coop-care-90-day-action-plan.docx</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Complying With Colorado's AI Law: Your SB24-205 Compliance Guide | TrustArc,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https://trustarc.com/resource/colorado-ai-law-sb24-205-compliance-guide/</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Colorado AI Act (SB 205) - ETO Agora,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https://agora.eto.tech/instrument/1376</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Colorado AI Act: What you need to know | Baker Tilly,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https://www.bakertilly.com/insights/the-colorado-ai-act-what-you-need-to-know</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Colorado SB 24-205: Addressing AI Risk with Sweeping Consumer Protection Law,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https://www.healthlawadvisor.com/colorado-sb-24-205-on-the-verge-of-addressing-ai-risk-with-sweeping-consumer-protection-law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ms.gov/priorities/innovation/access-technical-frequently-asked-questions" TargetMode="External"/><Relationship Id="rId10" Type="http://schemas.openxmlformats.org/officeDocument/2006/relationships/image" Target="media/image3.png"/><Relationship Id="rId13" Type="http://schemas.openxmlformats.org/officeDocument/2006/relationships/hyperlink" Target="https://www.foley.com/p/102lzhb/lead-ing-the-future-of-acos-new-long-term-enhanced-aco-design-model/" TargetMode="External"/><Relationship Id="rId12" Type="http://schemas.openxmlformats.org/officeDocument/2006/relationships/hyperlink" Target="https://www.cms.gov/priorities/innovation/innovation-models/ac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trustarc.com/resource/colorado-ai-law-sb24-205-compliance-guide/" TargetMode="External"/><Relationship Id="rId14" Type="http://schemas.openxmlformats.org/officeDocument/2006/relationships/hyperlink" Target="https://www.chesshealthsolutions.com/2026/02/10/the-lead-model-cmss-new-approach-to-accountable-care/" TargetMode="External"/><Relationship Id="rId17" Type="http://schemas.openxmlformats.org/officeDocument/2006/relationships/hyperlink" Target="https://www.bakertilly.com/insights/the-colorado-ai-act-what-you-need-to-know" TargetMode="External"/><Relationship Id="rId16" Type="http://schemas.openxmlformats.org/officeDocument/2006/relationships/hyperlink" Target="https://agora.eto.tech/instrument/1376"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s://www.healthlawadvisor.com/colorado-sb-24-205-on-the-verge-of-addressing-ai-risk-with-sweeping-consumer-protection-law"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