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Federated Cooperative Architecture of co-op.care Technologies LLC: A Strategic Synthesis of the Mondragon Model and Sovereign Healthcare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landscape of American healthcare delivery is characterized by an escalating tension between the efficiency gains of digital platforms and the systemic extraction inherent in venture-backed labor models. As traditional intermediaries increasingly centralize control and revenue, a counter-movement rooted in economic democracy and technological sovereignty has emerged. At the forefront of this shift is co-op.care Technologies LLC, an entity whose structural blueprint is explicitly derived from the Mondragon Corporation of Spain.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approach represents more than a mere organizational preference; it is a calculated response to the "scaling paradox" that has historically limited the reach of worker-owned cooperatives. By adopting a three-layer federation—distinguishing the technological "brain" from the clinical "body"—co-op.care attempts to reconcile the agility of a technology startup with the social stability of a neighborhood-scale cooperative. This report examines the technical, economic, and philosophical underpinnings of this model, specifically focusing on its defense mechanisms against platform extraction, its proactive resolution of the "Citrini Question" regarding AI-driven friction reduction, and its strategic pursuit of technological sovereignty to prevent vendor dependency.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Mondragon Strategic Blueprint and the Resolution of the Scaling Paradox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Mondragon Corporation, founded in 1956 in the Basque region of Spain, provides the historical and empirical validation for the co-op.care architecture. Comprising approximately 95 independent cooperatives and employing over 70,000 worker-owners, Mondragon has demonstrated that a network of autonomous entities can achieve global competitiveness while adhering to humanist business values.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core challenge for any cooperative is the "scaling paradox": as an organization grows, the democratic processes that ensure worker sovereignty often become cumbersome, leading to either administrative collapse or a shift toward traditional hierarchical structures to maintain efficiency. Mondragon solved this by creating an "inverted conglomerate" or a multi-level network where individual firms remain small and manageable, but are supported by a second and third tier of specialized service entities.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co-op.care context, this translates to a rigorous separation of technical risk and clinical labor. The Mondragon model emphasizes the "Sovereignty of Labor," where capital is treated as a subordinate, instrumental resource rather than a controlling interest.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philosophy is embedded in the co-op.care structure to ensure that as the platform scales nationally, the economic surplus generated by caregiving is not diverted to external shareholders but is captured by the workers and the "Health Principal" (the patient).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Ten Basic Cooperative Principles in Modern Infrastructure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resilience of the Mondragon model is supported by ten fundamental principles that co-op.care integrates into its operational software, CareOS, and its federation bylaws.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principles are not merely ethical guidelines but are functional requirements for maintaining a non-extractive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Application in co-op.care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 Membership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Non-discriminatory admission to all accepting the principles.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rapid expansion into new municipalities.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Democratic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 person, one vote; independent of capital contribution.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platform capture by large institutional investors.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Sovereignty of Labor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Profit distribution based on work contributed, not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88% of net proceeds remain with the local workforce.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Instrumental Nature of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 is a resource with limited rights and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the "VC Tax" common in traditional gig-economy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Participatory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Workers are involved in business decisions and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cooperatives manage clinical liability and staff culture.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Wage Solidarity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 pay ratios (typically 1:6) ensure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Supports a $25-$28/hr floor for caregivers in Colorado.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Inter-cooperation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Mutual aid between cooperatives to ensure network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Shared purchasing power and training resources across branches.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Social Transformation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Reinvestment in local communities and sustainable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the "drainage" of capital from rural to urban tech hubs.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Universality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Alignment with the global movement for economic democracy.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partnerships with other social economy entities.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Investment in professional and cooperative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3 provides shared training modules and certifications.</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these principles ensures that co-op.care avoids the pitfalls of "Platform Extraction," where a central technology provider uses its monopoly on data and discovery to squeeze the margins of the workers providing the actual service.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Three-Layer Federation: Hard Shell / Soft Center Architecture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innovation of co-op.care lies in its three-layer federated structure, which categorizes risk and functionality to maximize both scalability and localized ownership. This "Hard Shell / Soft Center" approach is designed to protect the "Soft Center" (the worker-owners) from the high-volatility "Hard Shell" (the technology and venture environment).</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co-op.care Technologies LLC (The Hard Shell)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is the technological and legal "brain" of the organization. As a centralized LLC, it carries the significant "tech risk" associated with software development, cybersecurity, and regulatory compliance. This layer owns the CareOS platform, the bailey SDK integration, and the primary FHIR server infrastructure.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centralizing these assets, co-op.care provides local branches with enterprise-grade technology that would be prohibitively expensive for a single neighborhood cooperative to develop or maintain.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"Hard Shell" also serves as the contracting entity for national payers and insurance programs. In the traditional model (e.g., Honor), the central entity uses this position to extract a majority of the revenue.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in the Mondragon-inspired model, the LLC operates as a service provider to the local cooperatives, charging a fixed licensing fee rather than a percentage that scales with the worker's effort. This ensures that the benefits of technological efficiency—such as AI-driven scheduling or automated billing—are not captured by the LLC but are passed down to the local level.</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The Local Cooperative (The Soft Center)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 Center" consists of independent, city-level cooperatives, such as co-op.care Boulder. These entities are the employers of record and are owned entirely by the local caregivers and staff. They license the platform from Layer 1 but maintain complete autonomy over their clinical operations, local culture, and hiring practices.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layer is responsible for clinical liability. By isolating liability at the local level, co-op.care ensures that the workers who are most familiar with the patients are the ones incentivized to maintain high quality standards. This structure directly addresses the failure of the "gig economy" model, where central platforms often attempt to evade liability by treating workers as independent contractors, resulting in a degradation of care quality and a surge in turnover.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The Federation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Federation serves as the governing body and the "connective tissue" of the entire system. It is responsible for setting national quality standards, managing brand identity, and leveraging collective purchasing power for medical supplies, insurance, and professional training. The Federation ensures that while each local cooperative is autonomous, they all adhere to a "brand promise" that patients and payers can trust.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layer also manages the inter-cooperative funds, a mechanism borrowed from Mondragon where successful cooperatives contribute a small percentage of profits to a shared fund to support new or struggling branches.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creates a "mutual insurance" effect that stabilizes the network against regional economic downturns.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Eliminating Platform Extraction: Quantitative and Qualitative Defenses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objective of the co-op.care architecture is the elimination of "Platform Extraction." In the dominant market models, companies like Honor and Papa function as digital middlemen that aggregate labor and demand.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these platforms offer convenience, their financial structure is predicated on extracting significant value from the transaction to satisfy venture capital expectations for high-growth returns.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Honor/Papa Extraction Model vs. co-op.care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Honor initially operated as a direct-to-consumer agency but pivoted to the "Honor Care Network," an enterprise solution that handles back-end administrative and billing functions for independent agencies.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Honor claims this allows agencies to focus on care, the revenue-sharing arrangements are often described as predatory by industry critics. Reports indicate that Honor’s cut can range from a 50/50 split to as much as 80-90% of agency revenue in some configurations.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"extraction tax" severely limits the ability of local agencies to pay competitive wages, leading to the industry’s characteristic 77-79% turnover rate.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Honor / Papa (VC-Backed)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co-op.care (Mondragon-Style)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Beneficiary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External Shareholders / VCs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Worker-Owners / Patients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to 60%+ of total revenue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fixed licensing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Wage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base (approx. $17/hr in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$25-$28/hr (47-65% premium)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Turnover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77% to 79% (Industry average)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&lt;15% (Targeted)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Centralized platform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Localized neighborhood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Profit Incentive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Maximizing "take rate" per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Maximizing health outcomes and wages</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co-op.care model, the "Hard Shell" LLC provides the same technological and back-office advantages as Honor but does so for a transparent licensing fee. This structure ensures that 88% of net proceeds flow back to the local workforce. This is a fundamental reversal of the industry standard: rather than the platform taking the lion's share and leaving the "crumbs" for the workers, the workers own the enterprise and hire the platform.</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Solving the "Citrini Question" and the AI Efficiency Dividend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"Citrini Question" refers to a scenario popularized by Citrini Research regarding the impact of agentic AI on the "friction economy".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theory suggests that AI will eventually eliminate administrative "friction"—the overhead associated with scheduling, billing, compliance, and middle-management—which is currently the primary source of revenue for many healthcare SaaS companies and platforms.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traditional model, as AI makes these processes more efficient, the savings (the "efficiency dividend") are captured by the software vendor or the platform owners as increased margin. This results in "Ghost GDP," where productivity increases on paper, but the benefits do not circulate to the workers or consumers.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Citrini Research warns that this could lead to a massive collapse in consumer demand as white-collar and administrative jobs are displaced without a corresponding increase in wages for the remaining labor force.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Mondragon-inspired architecture of co-op.care solves this by ensuring that the AI efficiency dividend is captured by the "Health Principal" (the patient) and the Worker-Owner. Because the technology provider (Layer 1) is a non-extractive entity within the federation, any reduction in administrative costs achieved through the CareOS platform’s AI capabilities—such as automated clinical reporting or optimized routing—directly translates into higher take-home pay for the caregiver or lower costs for the patient. This structural "brake" on capital accumulation ensures that the gains of the "Intelligence Revolution" are used to stabilize the care economy rather than hollow it out.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Sovereignty: The Case Against Platform Dependency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risk for any modern healthcare organization is "platform dependency," specifically on large, modular data integrators like b.well. While vendors like b.well provide essential services—such as unifying clinical, claims, and pharmacy data into a FHIR-native, whole-person view—they remain external entities with their own profit motives and "take rates".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b.well Connected Health and Vendor Lock-in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b.well markets itself as a solution for "vendor lock-in" by providing modular infrastructure that can be integrated into an existing tech stack.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Their platform provides a "Digital Front Door," a national provider directory, and a robust data network covering 94% of the U.S. population.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as organizations become reliant on the b.well "health.network" for their primary interoperability, they risk a secondary form of dependency: a reliance on the vendor's API pricing and product roadmap.</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co-op.care, maintaining "Technological Sovereignty" means building and owning the core components of the data stack. This is modeled after the Mondragon R&amp;D cooperatives, such as </w:t>
      </w:r>
      <w:r w:rsidDel="00000000" w:rsidR="00000000" w:rsidRPr="00000000">
        <w:rPr>
          <w:rFonts w:ascii="Google Sans" w:cs="Google Sans" w:eastAsia="Google Sans" w:hAnsi="Google Sans"/>
          <w:b w:val="1"/>
          <w:bCs w:val="1"/>
          <w:color w:val="1f1f1f"/>
          <w:rtl w:val="0"/>
        </w:rPr>
        <w:t xml:space="preserve">Ikerlan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Ideko</w:t>
      </w:r>
      <w:r w:rsidDel="00000000" w:rsidR="00000000" w:rsidRPr="00000000">
        <w:rPr>
          <w:rFonts w:ascii="Google Sans" w:cs="Google Sans" w:eastAsia="Google Sans" w:hAnsi="Google Sans"/>
          <w:color w:val="1f1f1f"/>
          <w:rtl w:val="0"/>
        </w:rPr>
        <w:t xml:space="preserve">, which provide specialized technology and innovation to member cooperatives to ensure they are not dependent on external industrial giants.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Sovereignty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co-op.care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Mondragon Analog (Ikerlan/Ideko)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Internal FHIR server and bailey SDK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ICT and cybersecurity hubs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Intellectual 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Ownership of CareOS and proprietary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Management of 382 patent families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R&amp;D Funding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Funded through the 12% licensing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€201M annual investment in R&amp;D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connectivity to HIEs/TEFCA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Specialization in "Industry 4.0" and AI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Specialized "Layer 1" tech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2,072 people dedicated to R&amp;D </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owning its FHIR server and the bailey SDK, co-op.care can connect to national data networks (like b.well's) without being subservient to them. This allows the federation to "swap" out point connectors or integrate new diagnostic tools without re-architecting the entire system. This technical autonomy is the "Hard Shell" that protects the economic autonomy of the workers.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Foundation: CareOS and FHIR-Native Infrastructure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co-op.care "Hard Shell" is built upon a FHIR-native architecture (Fast Healthcare Interoperability Resources). This choice is critical because FHIR is the emerging global standard for healthcare data exchange, supported by the CMS and major EHR vendors.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building CareOS on top of a HAPI RESTful server with a MongoDB or SQL backend, co-op.care ensures that its data is always "liquid" and portable.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CareOS provides several key functionalities that drive the 15% turnover target:</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Clinical Documentation:</w:t>
      </w:r>
      <w:r w:rsidDel="00000000" w:rsidR="00000000" w:rsidRPr="00000000">
        <w:rPr>
          <w:rFonts w:ascii="Google Sans" w:cs="Google Sans" w:eastAsia="Google Sans" w:hAnsi="Google Sans"/>
          <w:color w:val="1f1f1f"/>
          <w:rtl w:val="0"/>
        </w:rPr>
        <w:t xml:space="preserve"> Using speech-to-text and AI (similar to DiscoveryGPT) to reduce the "administrative burden" that often leads to caregiver burnout.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Scheduling:</w:t>
      </w:r>
      <w:r w:rsidDel="00000000" w:rsidR="00000000" w:rsidRPr="00000000">
        <w:rPr>
          <w:rFonts w:ascii="Google Sans" w:cs="Google Sans" w:eastAsia="Google Sans" w:hAnsi="Google Sans"/>
          <w:color w:val="1f1f1f"/>
          <w:rtl w:val="0"/>
        </w:rPr>
        <w:t xml:space="preserve"> Optimized routing that reduces travel time and ensures caregivers are matched with patients in their own neighborhoods, reinforcing the "neighborhood" feel.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Integrated Supplies and Logistics:</w:t>
      </w:r>
      <w:r w:rsidDel="00000000" w:rsidR="00000000" w:rsidRPr="00000000">
        <w:rPr>
          <w:rFonts w:ascii="Google Sans" w:cs="Google Sans" w:eastAsia="Google Sans" w:hAnsi="Google Sans"/>
          <w:color w:val="1f1f1f"/>
          <w:rtl w:val="0"/>
        </w:rPr>
        <w:t xml:space="preserve"> Coordinating the movement of medical supplies directly into the home setting, allowing the caregiver to focus on the patient rather than logistics.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technology is not just a tool; it is a defensive wall. It prevents the "friction" that traditional agencies use to justify their high overhead. If the software handles the scheduling, billing, and supplies for a flat fee, the agency (the "Soft Center") no longer needs a massive team of administrators, allowing that capital to be redeployed as wages.</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Workforce Stability: The $25/hr Floor and the End of the Gig Economy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proof of the Mondragon/co-op.care model lies in its workforce outcomes. The home care industry is currently trapped in a low-wage, high-turnover cycle. In Colorado, the average base wage for a home health aide is approximately $17/hr.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At this rate, most caregivers cannot afford the basic cost of living, leading to a "churn" rate of nearly 80%. This turnover is catastrophic for patient outcomes, as it destroys the continuity of care and the relationship of trust between the caregiver and the elderly patient.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Wage Premium and Economic Multiplication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eliminating the 40-60% platform extraction, co-op.care can offer a starting wage of $25-$28/hr. This is not a "living wage"; it is a professional wage. This premium has several cascading effects on the health system:</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Selection Bias:</w:t>
      </w:r>
      <w:r w:rsidDel="00000000" w:rsidR="00000000" w:rsidRPr="00000000">
        <w:rPr>
          <w:rFonts w:ascii="Google Sans" w:cs="Google Sans" w:eastAsia="Google Sans" w:hAnsi="Google Sans"/>
          <w:color w:val="1f1f1f"/>
          <w:rtl w:val="0"/>
        </w:rPr>
        <w:t xml:space="preserve"> Higher wages attract more experienced and dedicated caregivers who view the role as a career rather than a "gig."</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Turnover Reduction:</w:t>
      </w:r>
      <w:r w:rsidDel="00000000" w:rsidR="00000000" w:rsidRPr="00000000">
        <w:rPr>
          <w:rFonts w:ascii="Google Sans" w:cs="Google Sans" w:eastAsia="Google Sans" w:hAnsi="Google Sans"/>
          <w:color w:val="1f1f1f"/>
          <w:rtl w:val="0"/>
        </w:rPr>
        <w:t xml:space="preserve"> Targeted turnover of &lt;15% means patients see the same faces every week, significantly improving adherence to care plans and early detection of clinical changes.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Local Wealth Accumulation:</w:t>
      </w:r>
      <w:r w:rsidDel="00000000" w:rsidR="00000000" w:rsidRPr="00000000">
        <w:rPr>
          <w:rFonts w:ascii="Google Sans" w:cs="Google Sans" w:eastAsia="Google Sans" w:hAnsi="Google Sans"/>
          <w:color w:val="1f1f1f"/>
          <w:rtl w:val="0"/>
        </w:rPr>
        <w:t xml:space="preserve"> Because the workers are owners, they also participate in the "net proceeds" of the cooperative. This creates a local economic multiplier, as these wages are spent in the same neighborhoods where the care is provided.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model of the local cooperative is predicated on this stability. When turnover is low, the costs of recruitment, onboarding, and training—which typically consume a large portion of an agency's budget—evaporate.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Liability as a Quality Driver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Honor model, the platform often tries to avoid clinical liability, creating a "grey area" where accountability is diluted.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co-op.care model, the Layer 2 cooperative explicitly owns the clinical liability. This is a critical structural choice: because the workers own the company that holds the liability, they are directly and personally incentivized to maintain the highest standards of safety and care. They are not following a "compliance manual" dictated by a distant corporate office; they are managing their own professional reputation and financial risk.</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Integration: The Future of the Federated Model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co-op.care scales, it will face the same challenges that the Mondragon Corporation has navigated for seven decades. This includes the tension between the need for centralized technological excellence and the desire for localized democratic control.</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Expansion into the Senior Care Continuum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Honor/Home Instead acquisition in 2021 signaled a trend toward tech platforms attempting to control more of the senior care "continuum" to capture more data and payer revenue.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co-op.care’s response is not to acquire, but to federate. By partnering with other local cooperatives—such as those focused on transportation, food security, or specialized nursing—the co-op.care federation can offer a "whole-person" care experience that rivals the scale of a multi-billion dollar corporation while maintaining the soul of a neighborhood organization.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"Federation" layer (Layer 3) will eventually act as a "National Payer Contracting Office," allowing small cooperatives in Boulder, Austin, or Seattle to compete for massive Medicare Advantage contracts that would normally be reserved for giants like UnitedHealthcare or Home Instead.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the "ULMA/Orona Risk"</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risk in the Mondragon model is the potential for highly successful cooperatives to leave the federation if they feel they are subsidizing less efficient members. The 2022 departure of the ULMA and Orona groups from Mondragon illustrates this vulnerability.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co-op.care mitigates this by making the "Hard Shell" technology so indispensable and so cost-effective that leaving the federation would be a competitive disadvantage for the local cooperative. The bailey SDK and CareOS are designed to be the "operating system" that the local cooperative cannot afford to rebuild, ensuring long-term alignment with the federation's non-extractive mission.</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 New Economic Order for Healthcare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co-op.care Technologies LLC architecture represents a fundamental departure from the extractive norms of the 21st-century digital economy. By synthesizing the democratic ownership principles of the Mondragon Corporation with a sovereign, FHIR-native technological stack, it provides a viable resolution to the scaling paradox of cooperatives. The three-layer federation isolates technical risk, empowers local labor, and ensures that the "efficiency dividend" of the AI revolution is captured by the workers and patients who constitute the core of the care economy.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industry faces the "Citrini Question"—the potential collapse of administrative friction and the rise of Ghost GDP—co-op.care stands as a defensive bulwark. It ensures that as the "friction" of healthcare administration disappears, the resulting savings are used to build a professionalized, stable, and highly-paid workforce. With a wage floor of $25/hr and a turnover target of &lt;15%, co-op.care is not merely building a technology platform; it is building a resilient, non-extractive neighborhood infrastructure that is "Hard" on the outside to protect the "Soft" human relationships that are the true product of care. This model demonstrates that the most advanced technology in healthcare is not an AI agent or a data network, but a structural architecture that restores the sovereignty of labor and the dignity of the patient.</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MONDRAGON Corporation, accessed February 27, 2026, </w:t>
      </w:r>
      <w:hyperlink r:id="rId6">
        <w:r w:rsidDel="00000000" w:rsidR="00000000" w:rsidRPr="00000000">
          <w:rPr>
            <w:rFonts w:ascii="Google Sans" w:cs="Google Sans" w:eastAsia="Google Sans" w:hAnsi="Google Sans"/>
            <w:color w:val="0000ee"/>
            <w:sz w:val="24"/>
            <w:szCs w:val="24"/>
            <w:u w:val="single"/>
            <w:rtl w:val="0"/>
          </w:rPr>
          <w:t xml:space="preserve">https://www.mondragon-corporation.com/en/about-us/</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Mondragon Corporation - Wikipedia, accessed February 27,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https://en.wikipedia.org/wiki/Mondragon_Corporation</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MONDRAGON Cooperative Experience: Humanity at Work | Management Innovation eXchange, accessed February 27, 2026, </w:t>
      </w:r>
      <w:hyperlink r:id="rId8">
        <w:r w:rsidDel="00000000" w:rsidR="00000000" w:rsidRPr="00000000">
          <w:rPr>
            <w:rFonts w:ascii="Google Sans" w:cs="Google Sans" w:eastAsia="Google Sans" w:hAnsi="Google Sans"/>
            <w:color w:val="0000ee"/>
            <w:sz w:val="24"/>
            <w:szCs w:val="24"/>
            <w:u w:val="single"/>
            <w:rtl w:val="0"/>
          </w:rPr>
          <w:t xml:space="preserve">https://www.managementexchange.com/story/mondragon-cooperative-experience-humanity-work</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Ethics in Action: Critical and Interdisciplinary Perspectives - - Ben Green, accessed February 27, 2026, </w:t>
      </w:r>
      <w:hyperlink r:id="rId9">
        <w:r w:rsidDel="00000000" w:rsidR="00000000" w:rsidRPr="00000000">
          <w:rPr>
            <w:rFonts w:ascii="Google Sans" w:cs="Google Sans" w:eastAsia="Google Sans" w:hAnsi="Google Sans"/>
            <w:color w:val="0000ee"/>
            <w:sz w:val="24"/>
            <w:szCs w:val="24"/>
            <w:u w:val="single"/>
            <w:rtl w:val="0"/>
          </w:rPr>
          <w:t xml:space="preserve">https://www.benzevgreen.com/wp-content/uploads/2022/02/21-jsc.pdf</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 FHIR Patient Server - NHS Connect - Open APIs, accessed February 27, 2026, </w:t>
      </w:r>
      <w:hyperlink r:id="rId10">
        <w:r w:rsidDel="00000000" w:rsidR="00000000" w:rsidRPr="00000000">
          <w:rPr>
            <w:rFonts w:ascii="Google Sans" w:cs="Google Sans" w:eastAsia="Google Sans" w:hAnsi="Google Sans"/>
            <w:color w:val="0000ee"/>
            <w:sz w:val="24"/>
            <w:szCs w:val="24"/>
            <w:u w:val="single"/>
            <w:rtl w:val="0"/>
          </w:rPr>
          <w:t xml:space="preserve">https://nhsconnect.github.io/CareConnectAPI/build_patient_server.html</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care startup Honor finds success in new business model, pivoting away from direct-to-consumer care - MedCity News, accessed February 27, 2026, </w:t>
      </w:r>
      <w:hyperlink r:id="rId11">
        <w:r w:rsidDel="00000000" w:rsidR="00000000" w:rsidRPr="00000000">
          <w:rPr>
            <w:rFonts w:ascii="Google Sans" w:cs="Google Sans" w:eastAsia="Google Sans" w:hAnsi="Google Sans"/>
            <w:color w:val="0000ee"/>
            <w:sz w:val="24"/>
            <w:szCs w:val="24"/>
            <w:u w:val="single"/>
            <w:rtl w:val="0"/>
          </w:rPr>
          <w:t xml:space="preserve">https://medcitynews.com/2018/11/home-care-startup-honor-finds-success-in-new-business-model-pivoting-away-from-direct-to-consumer-care/</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Honor Faces Scrutiny Over Growing Partnership Model - Home Health Care News, accessed February 27, 2026, </w:t>
      </w:r>
      <w:hyperlink r:id="rId12">
        <w:r w:rsidDel="00000000" w:rsidR="00000000" w:rsidRPr="00000000">
          <w:rPr>
            <w:rFonts w:ascii="Google Sans" w:cs="Google Sans" w:eastAsia="Google Sans" w:hAnsi="Google Sans"/>
            <w:color w:val="0000ee"/>
            <w:sz w:val="24"/>
            <w:szCs w:val="24"/>
            <w:u w:val="single"/>
            <w:rtl w:val="0"/>
          </w:rPr>
          <w:t xml:space="preserve">https://homehealthcarenews.com/2018/12/honor-faces-scrutiny-over-growing-partnership-model/</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Papa Transforms "Shared Sons" Concept into Billion - Dollar Business, Igniting Elderly Companionship Economy - 36氪, accessed February 27, 2026, </w:t>
      </w:r>
      <w:hyperlink r:id="rId13">
        <w:r w:rsidDel="00000000" w:rsidR="00000000" w:rsidRPr="00000000">
          <w:rPr>
            <w:rFonts w:ascii="Google Sans" w:cs="Google Sans" w:eastAsia="Google Sans" w:hAnsi="Google Sans"/>
            <w:color w:val="0000ee"/>
            <w:sz w:val="24"/>
            <w:szCs w:val="24"/>
            <w:u w:val="single"/>
            <w:rtl w:val="0"/>
          </w:rPr>
          <w:t xml:space="preserve">https://eu.36kr.com/en/p/3529540686027649</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Honor's Home Instead Deal Reveals About Looming Senior Living Disruption, accessed February 27, 2026, </w:t>
      </w:r>
      <w:hyperlink r:id="rId14">
        <w:r w:rsidDel="00000000" w:rsidR="00000000" w:rsidRPr="00000000">
          <w:rPr>
            <w:rFonts w:ascii="Google Sans" w:cs="Google Sans" w:eastAsia="Google Sans" w:hAnsi="Google Sans"/>
            <w:color w:val="0000ee"/>
            <w:sz w:val="24"/>
            <w:szCs w:val="24"/>
            <w:u w:val="single"/>
            <w:rtl w:val="0"/>
          </w:rPr>
          <w:t xml:space="preserve">https://seniorhousingnews.com/2021/09/01/what-honors-home-instead-deal-reveals-about-looming-senior-living-disruption/</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feedback loop with no brake’: how an AI doomsday report shook US markets, accessed February 27, 2026, </w:t>
      </w:r>
      <w:hyperlink r:id="rId15">
        <w:r w:rsidDel="00000000" w:rsidR="00000000" w:rsidRPr="00000000">
          <w:rPr>
            <w:rFonts w:ascii="Google Sans" w:cs="Google Sans" w:eastAsia="Google Sans" w:hAnsi="Google Sans"/>
            <w:color w:val="0000ee"/>
            <w:sz w:val="24"/>
            <w:szCs w:val="24"/>
            <w:u w:val="single"/>
            <w:rtl w:val="0"/>
          </w:rPr>
          <w:t xml:space="preserve">https://www.theguardian.com/technology/2026/feb/24/feedback-loop-no-brake-how-ai-doomsday-report-rattled-markets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2028 GLOBAL INTELLIGENCE CRISIS - Citrini Research, accessed February 27, 2026, </w:t>
      </w:r>
      <w:hyperlink r:id="rId16">
        <w:r w:rsidDel="00000000" w:rsidR="00000000" w:rsidRPr="00000000">
          <w:rPr>
            <w:rFonts w:ascii="Google Sans" w:cs="Google Sans" w:eastAsia="Google Sans" w:hAnsi="Google Sans"/>
            <w:color w:val="0000ee"/>
            <w:sz w:val="24"/>
            <w:szCs w:val="24"/>
            <w:u w:val="single"/>
            <w:rtl w:val="0"/>
          </w:rPr>
          <w:t xml:space="preserve">https://www.citriniresearch.com/p/2028gic</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 Impact on Healthcare: Regulatory Changes and Cost Savings - Binance, accessed February 27, 2026, </w:t>
      </w:r>
      <w:hyperlink r:id="rId17">
        <w:r w:rsidDel="00000000" w:rsidR="00000000" w:rsidRPr="00000000">
          <w:rPr>
            <w:rFonts w:ascii="Google Sans" w:cs="Google Sans" w:eastAsia="Google Sans" w:hAnsi="Google Sans"/>
            <w:color w:val="0000ee"/>
            <w:sz w:val="24"/>
            <w:szCs w:val="24"/>
            <w:u w:val="single"/>
            <w:rtl w:val="0"/>
          </w:rPr>
          <w:t xml:space="preserve">https://www.binance.com/en-NG/square/post/02-25-2026-ai-s-impact-on-healthcare-regulatory-changes-and-cost-savings-295284078956722</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Citrini Research flags AI ‘ghost GDP’ risk, calls for taxing windfall gains amid job disruption, accessed February 27, 2026, </w:t>
      </w:r>
      <w:hyperlink r:id="rId18">
        <w:r w:rsidDel="00000000" w:rsidR="00000000" w:rsidRPr="00000000">
          <w:rPr>
            <w:rFonts w:ascii="Google Sans" w:cs="Google Sans" w:eastAsia="Google Sans" w:hAnsi="Google Sans"/>
            <w:color w:val="0000ee"/>
            <w:sz w:val="24"/>
            <w:szCs w:val="24"/>
            <w:u w:val="single"/>
            <w:rtl w:val="0"/>
          </w:rPr>
          <w:t xml:space="preserve">https://m.economictimes.com/tech/artificial-intelligence/citrini-research-report-flags-ai-ghost-gdp-risk-calls-for-taxing-windfall-gains-amid-job-disruption/articleshow/128740909.cms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'Ghost GDP' Threat and Why AI's Success Could Be the Economy's Downfall, accessed February 27, 2026, </w:t>
      </w:r>
      <w:hyperlink r:id="rId19">
        <w:r w:rsidDel="00000000" w:rsidR="00000000" w:rsidRPr="00000000">
          <w:rPr>
            <w:rFonts w:ascii="Google Sans" w:cs="Google Sans" w:eastAsia="Google Sans" w:hAnsi="Google Sans"/>
            <w:color w:val="0000ee"/>
            <w:sz w:val="24"/>
            <w:szCs w:val="24"/>
            <w:u w:val="single"/>
            <w:rtl w:val="0"/>
          </w:rPr>
          <w:t xml:space="preserve">https://techstrong.ai/features/the-ghost-gdp-threat-and-why-ais-success-could-be-the-economys-downfall/</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Jim Cramer drops unexpected take on stock market - TheStreet, accessed February 27, 2026, </w:t>
      </w:r>
      <w:hyperlink r:id="rId20">
        <w:r w:rsidDel="00000000" w:rsidR="00000000" w:rsidRPr="00000000">
          <w:rPr>
            <w:rFonts w:ascii="Google Sans" w:cs="Google Sans" w:eastAsia="Google Sans" w:hAnsi="Google Sans"/>
            <w:color w:val="0000ee"/>
            <w:sz w:val="24"/>
            <w:szCs w:val="24"/>
            <w:u w:val="single"/>
            <w:rtl w:val="0"/>
          </w:rPr>
          <w:t xml:space="preserve">https://www.thestreet.com/investing/jim-cramer-drops-unexpected-take-on-stock-market</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Citrini report author urges AI tax to cushion job losses in United States - Business Standard, accessed February 27, 2026, </w:t>
      </w:r>
      <w:hyperlink r:id="rId21">
        <w:r w:rsidDel="00000000" w:rsidR="00000000" w:rsidRPr="00000000">
          <w:rPr>
            <w:rFonts w:ascii="Google Sans" w:cs="Google Sans" w:eastAsia="Google Sans" w:hAnsi="Google Sans"/>
            <w:color w:val="0000ee"/>
            <w:sz w:val="24"/>
            <w:szCs w:val="24"/>
            <w:u w:val="single"/>
            <w:rtl w:val="0"/>
          </w:rPr>
          <w:t xml:space="preserve">https://www.business-standard.com/world-news/citrini-report-author-urges-ai-tax-to-cushion-job-losses-in-united-states-126022500017_1.html</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Refuting the “2028 Economic Collapse Theory”: AI May Cost You Your Job, But It Also Makes Everything Nearly Free, accessed February 27, 2026, </w:t>
      </w:r>
      <w:hyperlink r:id="rId22">
        <w:r w:rsidDel="00000000" w:rsidR="00000000" w:rsidRPr="00000000">
          <w:rPr>
            <w:rFonts w:ascii="Google Sans" w:cs="Google Sans" w:eastAsia="Google Sans" w:hAnsi="Google Sans"/>
            <w:color w:val="0000ee"/>
            <w:sz w:val="24"/>
            <w:szCs w:val="24"/>
            <w:u w:val="single"/>
            <w:rtl w:val="0"/>
          </w:rPr>
          <w:t xml:space="preserve">https://www.techflowpost.com/en-US/article/30439</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b.well Connected Health | Next-Generation Digital Health Platform, accessed February 27, 2026, </w:t>
      </w:r>
      <w:hyperlink r:id="rId23">
        <w:r w:rsidDel="00000000" w:rsidR="00000000" w:rsidRPr="00000000">
          <w:rPr>
            <w:rFonts w:ascii="Google Sans" w:cs="Google Sans" w:eastAsia="Google Sans" w:hAnsi="Google Sans"/>
            <w:color w:val="0000ee"/>
            <w:sz w:val="24"/>
            <w:szCs w:val="24"/>
            <w:u w:val="single"/>
            <w:rtl w:val="0"/>
          </w:rPr>
          <w:t xml:space="preserve">https://www.icanbwell.com/</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b.well | Digital Patient Engagement Solution for Health Systems, accessed February 27, 2026, </w:t>
      </w:r>
      <w:hyperlink r:id="rId24">
        <w:r w:rsidDel="00000000" w:rsidR="00000000" w:rsidRPr="00000000">
          <w:rPr>
            <w:rFonts w:ascii="Google Sans" w:cs="Google Sans" w:eastAsia="Google Sans" w:hAnsi="Google Sans"/>
            <w:color w:val="0000ee"/>
            <w:sz w:val="24"/>
            <w:szCs w:val="24"/>
            <w:u w:val="single"/>
            <w:rtl w:val="0"/>
          </w:rPr>
          <w:t xml:space="preserve">https://www.icanbwell.com/health-system-solutions/</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Modernize Healthcare Data Interoperability - b.well Connected Health, accessed February 27, 2026, </w:t>
      </w:r>
      <w:hyperlink r:id="rId25">
        <w:r w:rsidDel="00000000" w:rsidR="00000000" w:rsidRPr="00000000">
          <w:rPr>
            <w:rFonts w:ascii="Google Sans" w:cs="Google Sans" w:eastAsia="Google Sans" w:hAnsi="Google Sans"/>
            <w:color w:val="0000ee"/>
            <w:sz w:val="24"/>
            <w:szCs w:val="24"/>
            <w:u w:val="single"/>
            <w:rtl w:val="0"/>
          </w:rPr>
          <w:t xml:space="preserve">https://www.icanbwell.com/health-360-1/</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b.well | Personalized Health Solution for Consumers, accessed February 27, 2026, </w:t>
      </w:r>
      <w:hyperlink r:id="rId26">
        <w:r w:rsidDel="00000000" w:rsidR="00000000" w:rsidRPr="00000000">
          <w:rPr>
            <w:rFonts w:ascii="Google Sans" w:cs="Google Sans" w:eastAsia="Google Sans" w:hAnsi="Google Sans"/>
            <w:color w:val="0000ee"/>
            <w:sz w:val="24"/>
            <w:szCs w:val="24"/>
            <w:u w:val="single"/>
            <w:rtl w:val="0"/>
          </w:rPr>
          <w:t xml:space="preserve">https://www.icanbwell.com/consumer-health-solutions/</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b.well Connected Health - AWS Marketplace, accessed February 27, 2026, </w:t>
      </w:r>
      <w:hyperlink r:id="rId27">
        <w:r w:rsidDel="00000000" w:rsidR="00000000" w:rsidRPr="00000000">
          <w:rPr>
            <w:rFonts w:ascii="Google Sans" w:cs="Google Sans" w:eastAsia="Google Sans" w:hAnsi="Google Sans"/>
            <w:color w:val="0000ee"/>
            <w:sz w:val="24"/>
            <w:szCs w:val="24"/>
            <w:u w:val="single"/>
            <w:rtl w:val="0"/>
          </w:rPr>
          <w:t xml:space="preserve">https://aws.amazon.com/marketplace/pp/prodview-tij5ndkff3zu4</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Mondragon Innovation | Humanity at work, accessed February 27, 2026, </w:t>
      </w:r>
      <w:hyperlink r:id="rId28">
        <w:r w:rsidDel="00000000" w:rsidR="00000000" w:rsidRPr="00000000">
          <w:rPr>
            <w:rFonts w:ascii="Google Sans" w:cs="Google Sans" w:eastAsia="Google Sans" w:hAnsi="Google Sans"/>
            <w:color w:val="0000ee"/>
            <w:sz w:val="24"/>
            <w:szCs w:val="24"/>
            <w:u w:val="single"/>
            <w:rtl w:val="0"/>
          </w:rPr>
          <w:t xml:space="preserve">https://www.mondragon-corporation.com/innovation/en/</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PlumCon 2025 - Materials &amp; Agenda | Medplum, accessed February 27, 2026, </w:t>
      </w:r>
      <w:hyperlink r:id="rId29">
        <w:r w:rsidDel="00000000" w:rsidR="00000000" w:rsidRPr="00000000">
          <w:rPr>
            <w:rFonts w:ascii="Google Sans" w:cs="Google Sans" w:eastAsia="Google Sans" w:hAnsi="Google Sans"/>
            <w:color w:val="0000ee"/>
            <w:sz w:val="24"/>
            <w:szCs w:val="24"/>
            <w:u w:val="single"/>
            <w:rtl w:val="0"/>
          </w:rPr>
          <w:t xml:space="preserve">https://www.medplum.com/blog/plumcon-2025-materials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Hawking Healthcare Technology - Humanising Data, accessed February 27, 2026, </w:t>
      </w:r>
      <w:hyperlink r:id="rId30">
        <w:r w:rsidDel="00000000" w:rsidR="00000000" w:rsidRPr="00000000">
          <w:rPr>
            <w:rFonts w:ascii="Google Sans" w:cs="Google Sans" w:eastAsia="Google Sans" w:hAnsi="Google Sans"/>
            <w:color w:val="0000ee"/>
            <w:sz w:val="24"/>
            <w:szCs w:val="24"/>
            <w:u w:val="single"/>
            <w:rtl w:val="0"/>
          </w:rPr>
          <w:t xml:space="preserve">https://www.hawking.health/</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CareSend | Care delivered, at the push of a button, accessed February 27, 2026, </w:t>
      </w:r>
      <w:hyperlink r:id="rId31">
        <w:r w:rsidDel="00000000" w:rsidR="00000000" w:rsidRPr="00000000">
          <w:rPr>
            <w:rFonts w:ascii="Google Sans" w:cs="Google Sans" w:eastAsia="Google Sans" w:hAnsi="Google Sans"/>
            <w:color w:val="0000ee"/>
            <w:sz w:val="24"/>
            <w:szCs w:val="24"/>
            <w:u w:val="single"/>
            <w:rtl w:val="0"/>
          </w:rPr>
          <w:t xml:space="preserve">https://www.caresend.com/</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Papa Significantly Reduces Healthcare Costs, accessed February 27, 2026, </w:t>
      </w:r>
      <w:hyperlink r:id="rId32">
        <w:r w:rsidDel="00000000" w:rsidR="00000000" w:rsidRPr="00000000">
          <w:rPr>
            <w:rFonts w:ascii="Google Sans" w:cs="Google Sans" w:eastAsia="Google Sans" w:hAnsi="Google Sans"/>
            <w:color w:val="0000ee"/>
            <w:sz w:val="24"/>
            <w:szCs w:val="24"/>
            <w:u w:val="single"/>
            <w:rtl w:val="0"/>
          </w:rPr>
          <w:t xml:space="preserve">https://www.papa.com/resources/blog/reducing-healthcare-costs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estreet.com/investing/jim-cramer-drops-unexpected-take-on-stock-market" TargetMode="External"/><Relationship Id="rId22" Type="http://schemas.openxmlformats.org/officeDocument/2006/relationships/hyperlink" Target="https://www.techflowpost.com/en-US/article/30439" TargetMode="External"/><Relationship Id="rId21" Type="http://schemas.openxmlformats.org/officeDocument/2006/relationships/hyperlink" Target="https://www.business-standard.com/world-news/citrini-report-author-urges-ai-tax-to-cushion-job-losses-in-united-states-126022500017_1.html" TargetMode="External"/><Relationship Id="rId24" Type="http://schemas.openxmlformats.org/officeDocument/2006/relationships/hyperlink" Target="https://www.icanbwell.com/health-system-solutions/" TargetMode="External"/><Relationship Id="rId23" Type="http://schemas.openxmlformats.org/officeDocument/2006/relationships/hyperlink" Target="https://www.icanbwel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nzevgreen.com/wp-content/uploads/2022/02/21-jsc.pdf" TargetMode="External"/><Relationship Id="rId26" Type="http://schemas.openxmlformats.org/officeDocument/2006/relationships/hyperlink" Target="https://www.icanbwell.com/consumer-health-solutions/" TargetMode="External"/><Relationship Id="rId25" Type="http://schemas.openxmlformats.org/officeDocument/2006/relationships/hyperlink" Target="https://www.icanbwell.com/health-360-1/" TargetMode="External"/><Relationship Id="rId28" Type="http://schemas.openxmlformats.org/officeDocument/2006/relationships/hyperlink" Target="https://www.mondragon-corporation.com/innovation/en/" TargetMode="External"/><Relationship Id="rId27" Type="http://schemas.openxmlformats.org/officeDocument/2006/relationships/hyperlink" Target="https://aws.amazon.com/marketplace/pp/prodview-tij5ndkff3zu4" TargetMode="External"/><Relationship Id="rId5" Type="http://schemas.openxmlformats.org/officeDocument/2006/relationships/styles" Target="styles.xml"/><Relationship Id="rId6" Type="http://schemas.openxmlformats.org/officeDocument/2006/relationships/hyperlink" Target="https://www.mondragon-corporation.com/en/about-us/" TargetMode="External"/><Relationship Id="rId29" Type="http://schemas.openxmlformats.org/officeDocument/2006/relationships/hyperlink" Target="https://www.medplum.com/blog/plumcon-2025-materials" TargetMode="External"/><Relationship Id="rId7" Type="http://schemas.openxmlformats.org/officeDocument/2006/relationships/hyperlink" Target="https://en.wikipedia.org/wiki/Mondragon_Corporation" TargetMode="External"/><Relationship Id="rId8" Type="http://schemas.openxmlformats.org/officeDocument/2006/relationships/hyperlink" Target="https://www.managementexchange.com/story/mondragon-cooperative-experience-humanity-work" TargetMode="External"/><Relationship Id="rId31" Type="http://schemas.openxmlformats.org/officeDocument/2006/relationships/hyperlink" Target="https://www.caresend.com/" TargetMode="External"/><Relationship Id="rId30" Type="http://schemas.openxmlformats.org/officeDocument/2006/relationships/hyperlink" Target="https://www.hawking.health/" TargetMode="External"/><Relationship Id="rId11" Type="http://schemas.openxmlformats.org/officeDocument/2006/relationships/hyperlink" Target="https://medcitynews.com/2018/11/home-care-startup-honor-finds-success-in-new-business-model-pivoting-away-from-direct-to-consumer-care/" TargetMode="External"/><Relationship Id="rId10" Type="http://schemas.openxmlformats.org/officeDocument/2006/relationships/hyperlink" Target="https://nhsconnect.github.io/CareConnectAPI/build_patient_server.html" TargetMode="External"/><Relationship Id="rId32" Type="http://schemas.openxmlformats.org/officeDocument/2006/relationships/hyperlink" Target="https://www.papa.com/resources/blog/reducing-healthcare-costs" TargetMode="External"/><Relationship Id="rId13" Type="http://schemas.openxmlformats.org/officeDocument/2006/relationships/hyperlink" Target="https://eu.36kr.com/en/p/3529540686027649" TargetMode="External"/><Relationship Id="rId12" Type="http://schemas.openxmlformats.org/officeDocument/2006/relationships/hyperlink" Target="https://homehealthcarenews.com/2018/12/honor-faces-scrutiny-over-growing-partnership-model/" TargetMode="External"/><Relationship Id="rId15" Type="http://schemas.openxmlformats.org/officeDocument/2006/relationships/hyperlink" Target="https://www.theguardian.com/technology/2026/feb/24/feedback-loop-no-brake-how-ai-doomsday-report-rattled-markets" TargetMode="External"/><Relationship Id="rId14" Type="http://schemas.openxmlformats.org/officeDocument/2006/relationships/hyperlink" Target="https://seniorhousingnews.com/2021/09/01/what-honors-home-instead-deal-reveals-about-looming-senior-living-disruption/" TargetMode="External"/><Relationship Id="rId17" Type="http://schemas.openxmlformats.org/officeDocument/2006/relationships/hyperlink" Target="https://www.binance.com/en-NG/square/post/02-25-2026-ai-s-impact-on-healthcare-regulatory-changes-and-cost-savings-295284078956722" TargetMode="External"/><Relationship Id="rId16" Type="http://schemas.openxmlformats.org/officeDocument/2006/relationships/hyperlink" Target="https://www.citriniresearch.com/p/2028gic" TargetMode="External"/><Relationship Id="rId19" Type="http://schemas.openxmlformats.org/officeDocument/2006/relationships/hyperlink" Target="https://techstrong.ai/features/the-ghost-gdp-threat-and-why-ais-success-could-be-the-economys-downfall/" TargetMode="External"/><Relationship Id="rId18" Type="http://schemas.openxmlformats.org/officeDocument/2006/relationships/hyperlink" Target="https://m.economictimes.com/tech/artificial-intelligence/citrini-research-report-flags-ai-ghost-gdp-risk-calls-for-taxing-windfall-gains-amid-job-disruption/articleshow/128740909.c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