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Georgia" w:cs="Georgia" w:eastAsia="Georgia" w:hAnsi="Georgia"/>
          <w:b/>
          <w:bCs/>
          <w:color w:val="2E5E50"/>
          <w:sz w:val="52"/>
          <w:szCs w:val="52"/>
        </w:rPr>
        <w:t xml:space="preserve">co-op.care</w:t>
      </w:r>
    </w:p>
    <w:p>
      <w:pPr>
        <w:spacing w:after="40"/>
      </w:pPr>
      <w:r>
        <w:rPr>
          <w:rFonts w:ascii="Georgia" w:cs="Georgia" w:eastAsia="Georgia" w:hAnsi="Georgia"/>
          <w:color w:val="333333"/>
          <w:sz w:val="40"/>
          <w:szCs w:val="40"/>
        </w:rPr>
        <w:t xml:space="preserve">Revenue Architecture</w:t>
      </w:r>
    </w:p>
    <w:p>
      <w:pPr>
        <w:spacing w:after="200"/>
      </w:pPr>
      <w:r>
        <w:rPr>
          <w:rFonts w:ascii="Georgia" w:cs="Georgia" w:eastAsia="Georgia" w:hAnsi="Georgia"/>
          <w:i/>
          <w:iCs/>
          <w:color w:val="777777"/>
          <w:sz w:val="22"/>
          <w:szCs w:val="22"/>
        </w:rPr>
        <w:t xml:space="preserve">Every Revenue Stream. When It Activates. How to Keep Everyone Employed and Happy.</w:t>
      </w:r>
    </w:p>
    <w:p>
      <w:pPr>
        <w:pBdr>
          <w:bottom w:val="single" w:color="2E5E50" w:sz="4"/>
        </w:pBdr>
        <w:spacing w:after="120"/>
      </w:pPr>
      <w:r>
        <w:rPr>
          <w:rFonts w:ascii="Georgia" w:cs="Georgia" w:eastAsia="Georgia" w:hAnsi="Georgia"/>
          <w:color w:val="999999"/>
          <w:sz w:val="20"/>
          <w:szCs w:val="20"/>
        </w:rPr>
        <w:t xml:space="preserve">March 2026 — Internal Document</w:t>
      </w:r>
    </w:p>
    <w:p>
      <w:pPr>
        <w:spacing w:before="400"/>
      </w:pPr>
      <w:r>
        <w:br w:type="page"/>
      </w:r>
    </w:p>
    <w:p>
      <w:pPr>
        <w:pStyle w:val="Heading1"/>
        <w:spacing w:after="200" w:before="360"/>
      </w:pPr>
      <w:r>
        <w:rPr>
          <w:rFonts w:ascii="Georgia" w:cs="Georgia" w:eastAsia="Georgia" w:hAnsi="Georgia"/>
          <w:b/>
          <w:bCs/>
          <w:color w:val="2E5E50"/>
        </w:rPr>
        <w:t xml:space="preserve">I. How the $59/Month Is Tax-Advantaged</w:t>
      </w:r>
    </w:p>
    <w:p>
      <w:pPr>
        <w:spacing w:after="160" w:line="276"/>
      </w:pPr>
      <w:r>
        <w:rPr>
          <w:rFonts w:ascii="Georgia" w:cs="Georgia" w:eastAsia="Georgia" w:hAnsi="Georgia"/>
          <w:color w:val="333333"/>
          <w:sz w:val="22"/>
          <w:szCs w:val="22"/>
        </w:rPr>
        <w:t xml:space="preserve">The $59/month co-op.care membership is not "tax deductible" in the traditional sense — it is something better. It is payable with pre-tax dollars from a Health Savings Account (HSA) or Flexible Spending Account (FSA). This means the family never pays income tax or payroll tax on the money used to pay for membership. The effective discount is 25–40% depending on the family's tax bracket.</w:t>
      </w:r>
    </w:p>
    <w:p>
      <w:pPr>
        <w:pStyle w:val="Heading2"/>
        <w:spacing w:after="200" w:before="360"/>
      </w:pPr>
      <w:r>
        <w:rPr>
          <w:rFonts w:ascii="Georgia" w:cs="Georgia" w:eastAsia="Georgia" w:hAnsi="Georgia"/>
          <w:b/>
          <w:bCs/>
          <w:color w:val="333333"/>
        </w:rPr>
        <w:t xml:space="preserve">The Legal Mechanism</w:t>
      </w:r>
    </w:p>
    <w:p>
      <w:pPr>
        <w:spacing w:after="160" w:line="276"/>
      </w:pPr>
      <w:r>
        <w:rPr>
          <w:rFonts w:ascii="Georgia" w:cs="Georgia" w:eastAsia="Georgia" w:hAnsi="Georgia"/>
          <w:color w:val="333333"/>
          <w:sz w:val="22"/>
          <w:szCs w:val="22"/>
        </w:rPr>
        <w:t xml:space="preserve">Under IRS Publication 502, qualified medical expenses include amounts paid for the diagnosis, cure, mitigation, treatment, or prevention of disease, and for treatments affecting any part or function of the body. Home care services, when prescribed by a physician as medically necessary, qualify under this definition.</w:t>
      </w:r>
    </w:p>
    <w:p>
      <w:pPr>
        <w:spacing w:after="160" w:line="276"/>
      </w:pPr>
      <w:r>
        <w:rPr>
          <w:rFonts w:ascii="Georgia" w:cs="Georgia" w:eastAsia="Georgia" w:hAnsi="Georgia"/>
          <w:color w:val="333333"/>
          <w:sz w:val="22"/>
          <w:szCs w:val="22"/>
        </w:rPr>
        <w:t xml:space="preserve">The physician Letter of Medical Necessity (LMN), included in every co-op.care membership, establishes that the services — health monitoring, care coordination, caregiver oversight, and wellness referrals — are medically necessary for the patient's condition. With a valid LMN on file, HSA/FSA administrators approve the expense without further documentation.</w:t>
      </w:r>
    </w:p>
    <w:p>
      <w:pPr>
        <w:pStyle w:val="Heading2"/>
        <w:spacing w:after="200" w:before="360"/>
      </w:pPr>
      <w:r>
        <w:rPr>
          <w:rFonts w:ascii="Georgia" w:cs="Georgia" w:eastAsia="Georgia" w:hAnsi="Georgia"/>
          <w:b/>
          <w:bCs/>
          <w:color w:val="333333"/>
        </w:rPr>
        <w:t xml:space="preserve">What This Means for the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Item</w:t>
            </w:r>
          </w:p>
        </w:tc>
        <w:tc>
          <w:tcPr>
            <w:tcW w:type="dxa" w:w="318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Without co-op.care</w:t>
            </w:r>
          </w:p>
        </w:tc>
        <w:tc>
          <w:tcPr>
            <w:tcW w:type="dxa" w:w="318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With co-op.care ($59/mo)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Physician oversight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Not available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Included (LMN auto-generated)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HSA/FSA eligibility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Not available for home care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Unlocked at signup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Effective monthly cost (25% bracket)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$59</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~$43 (pre-tax HSA dollars)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Effective monthly cost (32% bracket)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$59</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~$40 (pre-tax HSA dollars)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Annual tax savings (25% bracket)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~$192/year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Care services also HSA-eligible?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No — no physician letter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Yes — all services covered by LMN</w:t>
            </w:r>
          </w:p>
        </w:tc>
      </w:tr>
    </w:tbl>
    <w:p>
      <w:pPr>
        <w:spacing w:after="160" w:line="276"/>
      </w:pPr>
      <w:r>
        <w:rPr>
          <w:rFonts w:ascii="Georgia" w:cs="Georgia" w:eastAsia="Georgia" w:hAnsi="Georgia"/>
          <w:color w:val="333333"/>
          <w:sz w:val="22"/>
          <w:szCs w:val="22"/>
        </w:rPr>
        <w:t xml:space="preserve"/>
      </w:r>
    </w:p>
    <w:p>
      <w:pPr>
        <w:spacing w:after="160" w:line="276"/>
      </w:pPr>
      <w:r>
        <w:rPr>
          <w:rFonts w:ascii="Georgia" w:cs="Georgia" w:eastAsia="Georgia" w:hAnsi="Georgia"/>
          <w:color w:val="333333"/>
          <w:sz w:val="22"/>
          <w:szCs w:val="22"/>
        </w:rPr>
        <w:t xml:space="preserve">The critical insight: the $59 membership doesn't just pay for itself in tax savings — it unlocks HSA/FSA eligibility for ALL subsequent care services. A family paying $2,400/month for comprehensive care saves $600–$960/month in taxes because the LMN covers everything. The $59 membership is the key that opens the HSA/FSA vault for every dollar they spend on care.</w:t>
      </w:r>
    </w:p>
    <w:p>
      <w:r>
        <w:br w:type="page"/>
      </w:r>
    </w:p>
    <w:p>
      <w:pPr>
        <w:pStyle w:val="Heading1"/>
        <w:spacing w:after="200" w:before="360"/>
      </w:pPr>
      <w:r>
        <w:rPr>
          <w:rFonts w:ascii="Georgia" w:cs="Georgia" w:eastAsia="Georgia" w:hAnsi="Georgia"/>
          <w:b/>
          <w:bCs/>
          <w:color w:val="2E5E50"/>
        </w:rPr>
        <w:t xml:space="preserve">II. The Twelve Revenue Streams</w:t>
      </w:r>
    </w:p>
    <w:p>
      <w:pPr>
        <w:spacing w:after="160" w:line="276"/>
      </w:pPr>
      <w:r>
        <w:rPr>
          <w:rFonts w:ascii="Georgia" w:cs="Georgia" w:eastAsia="Georgia" w:hAnsi="Georgia"/>
          <w:color w:val="333333"/>
          <w:sz w:val="22"/>
          <w:szCs w:val="22"/>
        </w:rPr>
        <w:t xml:space="preserve">co-op.care generates revenue from twelve distinct sources. They activate in sequence as the organization grows from pre-revenue through full-scale operations. Each stream is designed to sustain the people who make it work — caregivers earning living wages with equity, physicians compensated for oversight, and communities building real infrastructure.</w:t>
      </w:r>
    </w:p>
    <w:p>
      <w:pPr>
        <w:pStyle w:val="Heading2"/>
        <w:spacing w:after="200" w:before="360"/>
      </w:pPr>
      <w:r>
        <w:rPr>
          <w:rFonts w:ascii="Georgia" w:cs="Georgia" w:eastAsia="Georgia" w:hAnsi="Georgia"/>
          <w:b/>
          <w:bCs/>
          <w:color w:val="333333"/>
        </w:rPr>
        <w:t xml:space="preserve">Stream 1: Membership ($59/month)</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Day 1 — at first family signup</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Family (HSA/FSA eligible)</w:t>
      </w:r>
    </w:p>
    <w:p>
      <w:pPr>
        <w:spacing w:after="120" w:line="276"/>
      </w:pPr>
      <w:r>
        <w:rPr>
          <w:rFonts w:ascii="Georgia" w:cs="Georgia" w:eastAsia="Georgia" w:hAnsi="Georgia"/>
          <w:b/>
          <w:bCs/>
          <w:color w:val="2E5E50"/>
          <w:sz w:val="22"/>
          <w:szCs w:val="22"/>
        </w:rPr>
        <w:t xml:space="preserve">What it includes: </w:t>
      </w:r>
      <w:r>
        <w:rPr>
          <w:rFonts w:ascii="Georgia" w:cs="Georgia" w:eastAsia="Georgia" w:hAnsi="Georgia"/>
          <w:color w:val="444444"/>
          <w:sz w:val="22"/>
          <w:szCs w:val="22"/>
        </w:rPr>
        <w:t xml:space="preserve">Physician LMN, weekly burnout tracking, CareCapture access, Time Bank, caregiver matching, After-Visit Summaries, local resource guide</w:t>
      </w:r>
    </w:p>
    <w:p>
      <w:pPr>
        <w:spacing w:after="120" w:line="276"/>
      </w:pPr>
      <w:r>
        <w:rPr>
          <w:rFonts w:ascii="Georgia" w:cs="Georgia" w:eastAsia="Georgia" w:hAnsi="Georgia"/>
          <w:b/>
          <w:bCs/>
          <w:color w:val="2E5E50"/>
          <w:sz w:val="22"/>
          <w:szCs w:val="22"/>
        </w:rPr>
        <w:t xml:space="preserve">Unit economics: </w:t>
      </w:r>
      <w:r>
        <w:rPr>
          <w:rFonts w:ascii="Georgia" w:cs="Georgia" w:eastAsia="Georgia" w:hAnsi="Georgia"/>
          <w:color w:val="444444"/>
          <w:sz w:val="22"/>
          <w:szCs w:val="22"/>
        </w:rPr>
        <w:t xml:space="preserve">$59/mo × 12 = $708/year per member family</w:t>
      </w:r>
    </w:p>
    <w:p>
      <w:pPr>
        <w:spacing w:after="120" w:line="276"/>
      </w:pPr>
      <w:r>
        <w:rPr>
          <w:rFonts w:ascii="Georgia" w:cs="Georgia" w:eastAsia="Georgia" w:hAnsi="Georgia"/>
          <w:b/>
          <w:bCs/>
          <w:color w:val="2E5E50"/>
          <w:sz w:val="22"/>
          <w:szCs w:val="22"/>
        </w:rPr>
        <w:t xml:space="preserve">At 100 families: </w:t>
      </w:r>
      <w:r>
        <w:rPr>
          <w:rFonts w:ascii="Georgia" w:cs="Georgia" w:eastAsia="Georgia" w:hAnsi="Georgia"/>
          <w:color w:val="444444"/>
          <w:sz w:val="22"/>
          <w:szCs w:val="22"/>
        </w:rPr>
        <w:t xml:space="preserve">$70,800/year recurring</w:t>
      </w:r>
    </w:p>
    <w:p>
      <w:pPr>
        <w:spacing w:after="120" w:line="276"/>
      </w:pPr>
      <w:r>
        <w:rPr>
          <w:rFonts w:ascii="Georgia" w:cs="Georgia" w:eastAsia="Georgia" w:hAnsi="Georgia"/>
          <w:b/>
          <w:bCs/>
          <w:color w:val="2E5E50"/>
          <w:sz w:val="22"/>
          <w:szCs w:val="22"/>
        </w:rPr>
        <w:t xml:space="preserve">At 1,000 families: </w:t>
      </w:r>
      <w:r>
        <w:rPr>
          <w:rFonts w:ascii="Georgia" w:cs="Georgia" w:eastAsia="Georgia" w:hAnsi="Georgia"/>
          <w:color w:val="444444"/>
          <w:sz w:val="22"/>
          <w:szCs w:val="22"/>
        </w:rPr>
        <w:t xml:space="preserve">$708,000/year recurring</w:t>
      </w:r>
    </w:p>
    <w:p>
      <w:pPr>
        <w:spacing w:after="160" w:line="276"/>
      </w:pPr>
      <w:r>
        <w:rPr>
          <w:rFonts w:ascii="Georgia" w:cs="Georgia" w:eastAsia="Georgia" w:hAnsi="Georgia"/>
          <w:color w:val="333333"/>
          <w:sz w:val="22"/>
          <w:szCs w:val="22"/>
        </w:rPr>
        <w:t xml:space="preserve">This is the foundation. Pure recurring revenue. HSA/FSA eligible. Low churn because the weekly check-in creates habit and the community density tracker creates social investment. The LMN inclusion eliminates the conversion friction that kills most healthcare subscriptions.</w:t>
      </w:r>
    </w:p>
    <w:p>
      <w:pPr>
        <w:pStyle w:val="Heading2"/>
        <w:spacing w:after="200" w:before="360"/>
      </w:pPr>
      <w:r>
        <w:rPr>
          <w:rFonts w:ascii="Georgia" w:cs="Georgia" w:eastAsia="Georgia" w:hAnsi="Georgia"/>
          <w:b/>
          <w:bCs/>
          <w:color w:val="333333"/>
        </w:rPr>
        <w:t xml:space="preserve">Stream 2: Comfort Card Deposits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1 — when care services begin</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Family (HSA/FSA eligible)</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Pre-funded care account. Families deposit funds that draw down as services are used. Think of it as a dedicated care wallet — like a transit card but for home care.</w:t>
      </w:r>
    </w:p>
    <w:p>
      <w:pPr>
        <w:spacing w:after="120" w:line="276"/>
      </w:pPr>
      <w:r>
        <w:rPr>
          <w:rFonts w:ascii="Georgia" w:cs="Georgia" w:eastAsia="Georgia" w:hAnsi="Georgia"/>
          <w:b/>
          <w:bCs/>
          <w:color w:val="2E5E50"/>
          <w:sz w:val="22"/>
          <w:szCs w:val="22"/>
        </w:rPr>
        <w:t xml:space="preserve">Why it matters: </w:t>
      </w:r>
      <w:r>
        <w:rPr>
          <w:rFonts w:ascii="Georgia" w:cs="Georgia" w:eastAsia="Georgia" w:hAnsi="Georgia"/>
          <w:color w:val="444444"/>
          <w:sz w:val="22"/>
          <w:szCs w:val="22"/>
        </w:rPr>
        <w:t xml:space="preserve">Predictable cash flow. Families budget monthly. co-op.care has working capital before services are delivered. HSA/FSA funds can be deposited in bulk (annual HSA contribution limit: $4,300 individual / $8,550 family in 2026). Unused balances roll forward.</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Float on deposits + reduced billing friction. No invoicing, no collections. Care draws from the card automatically.</w:t>
      </w:r>
    </w:p>
    <w:p>
      <w:pPr>
        <w:spacing w:after="120" w:line="276"/>
      </w:pPr>
      <w:r>
        <w:rPr>
          <w:rFonts w:ascii="Georgia" w:cs="Georgia" w:eastAsia="Georgia" w:hAnsi="Georgia"/>
          <w:b/>
          <w:bCs/>
          <w:color w:val="2E5E50"/>
          <w:sz w:val="22"/>
          <w:szCs w:val="22"/>
        </w:rPr>
        <w:t xml:space="preserve">At scale (500 families, avg $500 deposit): </w:t>
      </w:r>
      <w:r>
        <w:rPr>
          <w:rFonts w:ascii="Georgia" w:cs="Georgia" w:eastAsia="Georgia" w:hAnsi="Georgia"/>
          <w:color w:val="444444"/>
          <w:sz w:val="22"/>
          <w:szCs w:val="22"/>
        </w:rPr>
        <w:t xml:space="preserve">$250,000 in working capital at any given time</w:t>
      </w:r>
    </w:p>
    <w:p>
      <w:pPr>
        <w:pStyle w:val="Heading2"/>
        <w:spacing w:after="200" w:before="360"/>
      </w:pPr>
      <w:r>
        <w:rPr>
          <w:rFonts w:ascii="Georgia" w:cs="Georgia" w:eastAsia="Georgia" w:hAnsi="Georgia"/>
          <w:b/>
          <w:bCs/>
          <w:color w:val="333333"/>
        </w:rPr>
        <w:t xml:space="preserve">Stream 3: Care Navigator Services (PIN/CHI Billing)</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2 — when Class B license obtained and physician oversight is operational</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Medicare / Medicare Advantage via CMS billing codes</w:t>
      </w:r>
    </w:p>
    <w:p>
      <w:pPr>
        <w:spacing w:after="120" w:line="276"/>
      </w:pPr>
      <w:r>
        <w:rPr>
          <w:rFonts w:ascii="Georgia" w:cs="Georgia" w:eastAsia="Georgia" w:hAnsi="Georgia"/>
          <w:b/>
          <w:bCs/>
          <w:color w:val="2E5E50"/>
          <w:sz w:val="22"/>
          <w:szCs w:val="22"/>
        </w:rPr>
        <w:t xml:space="preserve">Billing codes: </w:t>
      </w:r>
      <w:r>
        <w:rPr>
          <w:rFonts w:ascii="Georgia" w:cs="Georgia" w:eastAsia="Georgia" w:hAnsi="Georgia"/>
          <w:color w:val="444444"/>
          <w:sz w:val="22"/>
          <w:szCs w:val="22"/>
        </w:rPr>
        <w:t xml:space="preserve"/>
      </w:r>
    </w:p>
    <w:p>
      <w:pPr>
        <w:spacing w:after="160" w:line="276"/>
      </w:pPr>
      <w:r>
        <w:rPr>
          <w:rFonts w:ascii="Georgia" w:cs="Georgia" w:eastAsia="Georgia" w:hAnsi="Georgia"/>
          <w:color w:val="333333"/>
          <w:sz w:val="22"/>
          <w:szCs w:val="22"/>
        </w:rPr>
        <w:t xml:space="preserve">PIN (Principal Illness Navigation): G0023, G0024, G0140, G0146 — for complex chronic conditions requiring navigation support. Pays $67–$126 per month per qualifying patient.</w:t>
      </w:r>
    </w:p>
    <w:p>
      <w:pPr>
        <w:spacing w:after="160" w:line="276"/>
      </w:pPr>
      <w:r>
        <w:rPr>
          <w:rFonts w:ascii="Georgia" w:cs="Georgia" w:eastAsia="Georgia" w:hAnsi="Georgia"/>
          <w:color w:val="333333"/>
          <w:sz w:val="22"/>
          <w:szCs w:val="22"/>
        </w:rPr>
        <w:t xml:space="preserve">CHI (Community Health Integration): G0019, G0022 — for patients with social determinants impacting health outcomes. Pays $49–$89 per month per qualifying patient.</w:t>
      </w:r>
    </w:p>
    <w:p>
      <w:pPr>
        <w:spacing w:after="160" w:line="276"/>
      </w:pPr>
      <w:r>
        <w:rPr>
          <w:rFonts w:ascii="Georgia" w:cs="Georgia" w:eastAsia="Georgia" w:hAnsi="Georgia"/>
          <w:color w:val="333333"/>
          <w:sz w:val="22"/>
          <w:szCs w:val="22"/>
        </w:rPr>
        <w:t xml:space="preserve">All billed incident-to under Josh Emdur's physician NPI. W-2 caregivers perform the documented services. The AmbientScribe parser generates the clinical documentation that justifies billing.</w:t>
      </w:r>
    </w:p>
    <w:p>
      <w:pPr>
        <w:spacing w:after="120" w:line="276"/>
      </w:pPr>
      <w:r>
        <w:rPr>
          <w:rFonts w:ascii="Georgia" w:cs="Georgia" w:eastAsia="Georgia" w:hAnsi="Georgia"/>
          <w:b/>
          <w:bCs/>
          <w:color w:val="2E5E50"/>
          <w:sz w:val="22"/>
          <w:szCs w:val="22"/>
        </w:rPr>
        <w:t xml:space="preserve">Per qualifying patient: </w:t>
      </w:r>
      <w:r>
        <w:rPr>
          <w:rFonts w:ascii="Georgia" w:cs="Georgia" w:eastAsia="Georgia" w:hAnsi="Georgia"/>
          <w:color w:val="444444"/>
          <w:sz w:val="22"/>
          <w:szCs w:val="22"/>
        </w:rPr>
        <w:t xml:space="preserve">$49–$126/month</w:t>
      </w:r>
    </w:p>
    <w:p>
      <w:pPr>
        <w:spacing w:after="120" w:line="276"/>
      </w:pPr>
      <w:r>
        <w:rPr>
          <w:rFonts w:ascii="Georgia" w:cs="Georgia" w:eastAsia="Georgia" w:hAnsi="Georgia"/>
          <w:b/>
          <w:bCs/>
          <w:color w:val="2E5E50"/>
          <w:sz w:val="22"/>
          <w:szCs w:val="22"/>
        </w:rPr>
        <w:t xml:space="preserve">At 200 qualifying patients: </w:t>
      </w:r>
      <w:r>
        <w:rPr>
          <w:rFonts w:ascii="Georgia" w:cs="Georgia" w:eastAsia="Georgia" w:hAnsi="Georgia"/>
          <w:color w:val="444444"/>
          <w:sz w:val="22"/>
          <w:szCs w:val="22"/>
        </w:rPr>
        <w:t xml:space="preserve">$117,600–$302,400/year</w:t>
      </w:r>
    </w:p>
    <w:p>
      <w:pPr>
        <w:spacing w:after="160" w:line="276"/>
      </w:pPr>
      <w:r>
        <w:rPr>
          <w:rFonts w:ascii="Georgia" w:cs="Georgia" w:eastAsia="Georgia" w:hAnsi="Georgia"/>
          <w:color w:val="333333"/>
          <w:sz w:val="22"/>
          <w:szCs w:val="22"/>
        </w:rPr>
        <w:t xml:space="preserve">This is the revenue stream that pays for physician oversight and makes the caregiver model sustainable at scale. Every 10-minute Clinical Sync generates billable documentation automatically.</w:t>
      </w:r>
    </w:p>
    <w:p>
      <w:pPr>
        <w:pStyle w:val="Heading2"/>
        <w:spacing w:after="200" w:before="360"/>
      </w:pPr>
      <w:r>
        <w:rPr>
          <w:rFonts w:ascii="Georgia" w:cs="Georgia" w:eastAsia="Georgia" w:hAnsi="Georgia"/>
          <w:b/>
          <w:bCs/>
          <w:color w:val="333333"/>
        </w:rPr>
        <w:t xml:space="preserve">Stream 4: Wellness Provider Network</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1 — when first community wellness partners join</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Family (HSA/FSA eligible via LMN)</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Curated network of wellness providers — yoga, tai chi, nutrition counseling, physical therapy, occupational therapy, speech therapy, meditation, aquatic exercise. The physician LMN makes these HSA/FSA eligible when prescribed as part of the care plan.</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Referral fees (10–15% of session cost) or co-op.care acts as the scheduling/billing intermediary, collecting a platform fee. Wellness providers get access to a pre-qualified patient base with physician backing.</w:t>
      </w:r>
    </w:p>
    <w:p>
      <w:pPr>
        <w:spacing w:after="120" w:line="276"/>
      </w:pPr>
      <w:r>
        <w:rPr>
          <w:rFonts w:ascii="Georgia" w:cs="Georgia" w:eastAsia="Georgia" w:hAnsi="Georgia"/>
          <w:b/>
          <w:bCs/>
          <w:color w:val="2E5E50"/>
          <w:sz w:val="22"/>
          <w:szCs w:val="22"/>
        </w:rPr>
        <w:t xml:space="preserve">Example: </w:t>
      </w:r>
      <w:r>
        <w:rPr>
          <w:rFonts w:ascii="Georgia" w:cs="Georgia" w:eastAsia="Georgia" w:hAnsi="Georgia"/>
          <w:color w:val="444444"/>
          <w:sz w:val="22"/>
          <w:szCs w:val="22"/>
        </w:rPr>
        <w:t xml:space="preserve">A tai chi class at $15/session × 50 members × 4 sessions/month = $3,000/month gross. co-op.care retains 12% = $360/month per provider. With 10 wellness partners = $3,600/month = $43,200/year.</w:t>
      </w:r>
    </w:p>
    <w:p>
      <w:pPr>
        <w:spacing w:after="160" w:line="276"/>
      </w:pPr>
      <w:r>
        <w:rPr>
          <w:rFonts w:ascii="Georgia" w:cs="Georgia" w:eastAsia="Georgia" w:hAnsi="Georgia"/>
          <w:color w:val="333333"/>
          <w:sz w:val="22"/>
          <w:szCs w:val="22"/>
        </w:rPr>
        <w:t xml:space="preserve">This stream turns the community's existing wellness infrastructure into HSA/FSA-eligible care. The LMN is the magic key — it transforms a $15 yoga class from out-of-pocket to pre-tax.</w:t>
      </w:r>
    </w:p>
    <w:p>
      <w:pPr>
        <w:pStyle w:val="Heading2"/>
        <w:spacing w:after="200" w:before="360"/>
      </w:pPr>
      <w:r>
        <w:rPr>
          <w:rFonts w:ascii="Georgia" w:cs="Georgia" w:eastAsia="Georgia" w:hAnsi="Georgia"/>
          <w:b/>
          <w:bCs/>
          <w:color w:val="333333"/>
        </w:rPr>
        <w:t xml:space="preserve">Stream 5: Companion &amp; Personal Care Services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2 — when W-2 caregivers are hired and Class B license obtained</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Family (HSA/FSA eligible via LMN)</w:t>
      </w:r>
    </w:p>
    <w:p>
      <w:pPr>
        <w:spacing w:after="160" w:line="276"/>
      </w:pPr>
      <w:r>
        <w:rPr>
          <w:rFonts w:ascii="Georgia" w:cs="Georgia" w:eastAsia="Georgia" w:hAnsi="Georgia"/>
          <w:color w:val="333333"/>
          <w:sz w:val="22"/>
          <w:szCs w:val="22"/>
        </w:rPr>
        <w:t xml:space="preserve">This is the core care delivery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Hours/Week</w:t>
            </w:r>
          </w:p>
        </w:tc>
        <w:tc>
          <w:tcPr>
            <w:tcW w:type="dxa" w:w="258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Monthly Cost</w:t>
            </w:r>
          </w:p>
        </w:tc>
        <w:tc>
          <w:tcPr>
            <w:tcW w:type="dxa" w:w="258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Caregiver Wage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Companion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4–12</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$400–$1,200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$25–28/hr + equity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Standard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12–24</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$1,200–$3,200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$25–28/hr + equity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Comprehensive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24–40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$3,200–$6,000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$25–28/hr + equity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24/7 Care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$8,000–$12,000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$25–28/hr + equity</w:t>
            </w:r>
          </w:p>
        </w:tc>
      </w:tr>
    </w:tbl>
    <w:p>
      <w:pPr>
        <w:spacing w:after="160" w:line="276"/>
      </w:pPr>
      <w:r>
        <w:rPr>
          <w:rFonts w:ascii="Georgia" w:cs="Georgia" w:eastAsia="Georgia" w:hAnsi="Georgia"/>
          <w:color w:val="333333"/>
          <w:sz w:val="22"/>
          <w:szCs w:val="22"/>
        </w:rPr>
        <w:t xml:space="preserve"/>
      </w:r>
    </w:p>
    <w:p>
      <w:pPr>
        <w:spacing w:after="120" w:line="276"/>
      </w:pPr>
      <w:r>
        <w:rPr>
          <w:rFonts w:ascii="Georgia" w:cs="Georgia" w:eastAsia="Georgia" w:hAnsi="Georgia"/>
          <w:b/>
          <w:bCs/>
          <w:color w:val="2E5E50"/>
          <w:sz w:val="22"/>
          <w:szCs w:val="22"/>
        </w:rPr>
        <w:t xml:space="preserve">Margin: </w:t>
      </w:r>
      <w:r>
        <w:rPr>
          <w:rFonts w:ascii="Georgia" w:cs="Georgia" w:eastAsia="Georgia" w:hAnsi="Georgia"/>
          <w:color w:val="444444"/>
          <w:sz w:val="22"/>
          <w:szCs w:val="22"/>
        </w:rPr>
        <w:t xml:space="preserve">15–25% after caregiver wages, benefits, equity accrual, and overhead</w:t>
      </w:r>
    </w:p>
    <w:p>
      <w:pPr>
        <w:spacing w:after="120" w:line="276"/>
      </w:pPr>
      <w:r>
        <w:rPr>
          <w:rFonts w:ascii="Georgia" w:cs="Georgia" w:eastAsia="Georgia" w:hAnsi="Georgia"/>
          <w:b/>
          <w:bCs/>
          <w:color w:val="2E5E50"/>
          <w:sz w:val="22"/>
          <w:szCs w:val="22"/>
        </w:rPr>
        <w:t xml:space="preserve">At 50 active care families (avg $2,000/mo): </w:t>
      </w:r>
      <w:r>
        <w:rPr>
          <w:rFonts w:ascii="Georgia" w:cs="Georgia" w:eastAsia="Georgia" w:hAnsi="Georgia"/>
          <w:color w:val="444444"/>
          <w:sz w:val="22"/>
          <w:szCs w:val="22"/>
        </w:rPr>
        <w:t xml:space="preserve">$100,000/month = $1.2M/year gross</w:t>
      </w:r>
    </w:p>
    <w:p>
      <w:pPr>
        <w:spacing w:after="160" w:line="276"/>
      </w:pPr>
      <w:r>
        <w:rPr>
          <w:rFonts w:ascii="Georgia" w:cs="Georgia" w:eastAsia="Georgia" w:hAnsi="Georgia"/>
          <w:color w:val="333333"/>
          <w:sz w:val="22"/>
          <w:szCs w:val="22"/>
        </w:rPr>
        <w:t xml:space="preserve">Caregivers are W-2 employees with equity. They own the cooperative. Every shift accrues ownership. This is why retention is 85% when the industry averages 20%. The math: a $28/hr caregiver costs ~$35/hr fully loaded. Billed at $42–45/hr. Margin funds operations, equity pool, and federation infrastructure.</w:t>
      </w:r>
    </w:p>
    <w:p>
      <w:r>
        <w:br w:type="page"/>
      </w:r>
    </w:p>
    <w:p>
      <w:pPr>
        <w:pStyle w:val="Heading2"/>
        <w:spacing w:after="200" w:before="360"/>
      </w:pPr>
      <w:r>
        <w:rPr>
          <w:rFonts w:ascii="Georgia" w:cs="Georgia" w:eastAsia="Georgia" w:hAnsi="Georgia"/>
          <w:b/>
          <w:bCs/>
          <w:color w:val="333333"/>
        </w:rPr>
        <w:t xml:space="preserve">Stream 6: City &amp; Municipal Infrastructure Sales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3 — when outcomes data proves the model</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Municipal governments, Area Agencies on Aging, county health departments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co-op.care as public infrastructure. Cities contract with co-op.care to provide aging-in-place services as an alternative to expensive institutional care. This is the "roads and water" pitch — community care infrastructure that reduces Medicaid spend and keeps elders in their homes.</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Per-capita contracts, block grants, or fee-for-service arrangements. The data from CareCapture and PROMIS provides the outcomes evidence that justifies municipal investment.</w:t>
      </w:r>
    </w:p>
    <w:p>
      <w:pPr>
        <w:spacing w:after="120" w:line="276"/>
      </w:pPr>
      <w:r>
        <w:rPr>
          <w:rFonts w:ascii="Georgia" w:cs="Georgia" w:eastAsia="Georgia" w:hAnsi="Georgia"/>
          <w:b/>
          <w:bCs/>
          <w:color w:val="2E5E50"/>
          <w:sz w:val="22"/>
          <w:szCs w:val="22"/>
        </w:rPr>
        <w:t xml:space="preserve">Precedent: </w:t>
      </w:r>
      <w:r>
        <w:rPr>
          <w:rFonts w:ascii="Georgia" w:cs="Georgia" w:eastAsia="Georgia" w:hAnsi="Georgia"/>
          <w:color w:val="444444"/>
          <w:sz w:val="22"/>
          <w:szCs w:val="22"/>
        </w:rPr>
        <w:t xml:space="preserve">PACE programs, Area Agency on Aging contracts, Older Americans Act Title III funding, ARPA community health investments, Colorado WORK Act workforce development.</w:t>
      </w:r>
    </w:p>
    <w:p>
      <w:pPr>
        <w:spacing w:after="120" w:line="276"/>
      </w:pPr>
      <w:r>
        <w:rPr>
          <w:rFonts w:ascii="Georgia" w:cs="Georgia" w:eastAsia="Georgia" w:hAnsi="Georgia"/>
          <w:b/>
          <w:bCs/>
          <w:color w:val="2E5E50"/>
          <w:sz w:val="22"/>
          <w:szCs w:val="22"/>
        </w:rPr>
        <w:t xml:space="preserve">Target: </w:t>
      </w:r>
      <w:r>
        <w:rPr>
          <w:rFonts w:ascii="Georgia" w:cs="Georgia" w:eastAsia="Georgia" w:hAnsi="Georgia"/>
          <w:color w:val="444444"/>
          <w:sz w:val="22"/>
          <w:szCs w:val="22"/>
        </w:rPr>
        <w:t xml:space="preserve">$50,000–$500,000 per municipal contract depending on population served</w:t>
      </w:r>
    </w:p>
    <w:p>
      <w:pPr>
        <w:spacing w:after="160" w:line="276"/>
      </w:pPr>
      <w:r>
        <w:rPr>
          <w:rFonts w:ascii="Georgia" w:cs="Georgia" w:eastAsia="Georgia" w:hAnsi="Georgia"/>
          <w:color w:val="333333"/>
          <w:sz w:val="22"/>
          <w:szCs w:val="22"/>
        </w:rPr>
        <w:t xml:space="preserve">This is the stream that makes co-op.care public infrastructure rather than a private service. When a city pays for community care capacity, every family in that community benefits regardless of ability to pay.</w:t>
      </w:r>
    </w:p>
    <w:p>
      <w:pPr>
        <w:pStyle w:val="Heading2"/>
        <w:spacing w:after="200" w:before="360"/>
      </w:pPr>
      <w:r>
        <w:rPr>
          <w:rFonts w:ascii="Georgia" w:cs="Georgia" w:eastAsia="Georgia" w:hAnsi="Georgia"/>
          <w:b/>
          <w:bCs/>
          <w:color w:val="333333"/>
        </w:rPr>
        <w:t xml:space="preserve">Stream 7: DPC (Direct Primary Care) Provider Partnerships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2 — when clinical data infrastructure is proven</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DPC practices and concierge medicine providers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DPC doctors lack eyes in the home. They see patients for 30–60 minutes a month but have no idea what happens the other 29 days. co-op.care provides the home-based data layer — CareCapture observations, AmbientScribe clinical syncs, passive PROMIS monitoring — that extends the DPC physician's reach into the patient's daily life.</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Monthly per-patient fee ($25–75/patient) for clinical data feed. The DPC physician gets structured FHIR data from every home visit, every neighbor observation, every weekly check-in. They get a pre-visit intelligence brief before each appointment.</w:t>
      </w:r>
    </w:p>
    <w:p>
      <w:pPr>
        <w:spacing w:after="120" w:line="276"/>
      </w:pPr>
      <w:r>
        <w:rPr>
          <w:rFonts w:ascii="Georgia" w:cs="Georgia" w:eastAsia="Georgia" w:hAnsi="Georgia"/>
          <w:b/>
          <w:bCs/>
          <w:color w:val="2E5E50"/>
          <w:sz w:val="22"/>
          <w:szCs w:val="22"/>
        </w:rPr>
        <w:t xml:space="preserve">At 10 DPC practices × 50 patients each × $40/patient: </w:t>
      </w:r>
      <w:r>
        <w:rPr>
          <w:rFonts w:ascii="Georgia" w:cs="Georgia" w:eastAsia="Georgia" w:hAnsi="Georgia"/>
          <w:color w:val="444444"/>
          <w:sz w:val="22"/>
          <w:szCs w:val="22"/>
        </w:rPr>
        <w:t xml:space="preserve">$20,000/month = $240,000/year</w:t>
      </w:r>
    </w:p>
    <w:p>
      <w:pPr>
        <w:spacing w:after="160" w:line="276"/>
      </w:pPr>
      <w:r>
        <w:rPr>
          <w:rFonts w:ascii="Georgia" w:cs="Georgia" w:eastAsia="Georgia" w:hAnsi="Georgia"/>
          <w:color w:val="333333"/>
          <w:sz w:val="22"/>
          <w:szCs w:val="22"/>
        </w:rPr>
        <w:t xml:space="preserve">DPC physicians are the natural allies. They've already rejected fee-for-service. They want better data. They can't afford to build a home care arm. co-op.care is the home extension of their practice.</w:t>
      </w:r>
    </w:p>
    <w:p>
      <w:pPr>
        <w:pStyle w:val="Heading2"/>
        <w:spacing w:after="200" w:before="360"/>
      </w:pPr>
      <w:r>
        <w:rPr>
          <w:rFonts w:ascii="Georgia" w:cs="Georgia" w:eastAsia="Georgia" w:hAnsi="Georgia"/>
          <w:b/>
          <w:bCs/>
          <w:color w:val="333333"/>
        </w:rPr>
        <w:t xml:space="preserve">Stream 8: Medicare Reimbursement (PACE &amp; Traditional)</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3 — when PACE partnership or ACCESS Model participation begins</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CMS (Centers for Medicare &amp; Medicaid Services)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PACE (Program of All-inclusive Care for the Elderly) provides capitated payments for all healthcare services for dual-eligible (Medicare + Medicaid) beneficiaries. co-op.care operates as a sub-capitation partner — providing the home-based care component under the PACE umbrella.</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Monthly capitated payment per enrolled beneficiary. PACE capitation rates average $3,500–$5,000/month per enrollee. co-op.care's share as the home care partner: $800–$1,500/month per enrollee.</w:t>
      </w:r>
    </w:p>
    <w:p>
      <w:pPr>
        <w:spacing w:after="120" w:line="276"/>
      </w:pPr>
      <w:r>
        <w:rPr>
          <w:rFonts w:ascii="Georgia" w:cs="Georgia" w:eastAsia="Georgia" w:hAnsi="Georgia"/>
          <w:b/>
          <w:bCs/>
          <w:color w:val="2E5E50"/>
          <w:sz w:val="22"/>
          <w:szCs w:val="22"/>
        </w:rPr>
        <w:t xml:space="preserve">HCC Risk Adjustment: </w:t>
      </w:r>
      <w:r>
        <w:rPr>
          <w:rFonts w:ascii="Georgia" w:cs="Georgia" w:eastAsia="Georgia" w:hAnsi="Georgia"/>
          <w:color w:val="444444"/>
          <w:sz w:val="22"/>
          <w:szCs w:val="22"/>
        </w:rPr>
        <w:t xml:space="preserve">Accurate clinical documentation from AmbientScribe enables proper HCC (Hierarchical Condition Category) coding. Every ICD-10 code captured = higher risk adjustment factor = higher capitation payment. This is where the Ambience API integration (Phase 3) pays for itself — AutoCDI catches codes human documentation misses.</w:t>
      </w:r>
    </w:p>
    <w:p>
      <w:pPr>
        <w:spacing w:after="120" w:line="276"/>
      </w:pPr>
      <w:r>
        <w:rPr>
          <w:rFonts w:ascii="Georgia" w:cs="Georgia" w:eastAsia="Georgia" w:hAnsi="Georgia"/>
          <w:b/>
          <w:bCs/>
          <w:color w:val="2E5E50"/>
          <w:sz w:val="22"/>
          <w:szCs w:val="22"/>
        </w:rPr>
        <w:t xml:space="preserve">At 100 PACE enrollees × $1,000/mo: </w:t>
      </w:r>
      <w:r>
        <w:rPr>
          <w:rFonts w:ascii="Georgia" w:cs="Georgia" w:eastAsia="Georgia" w:hAnsi="Georgia"/>
          <w:color w:val="444444"/>
          <w:sz w:val="22"/>
          <w:szCs w:val="22"/>
        </w:rPr>
        <w:t xml:space="preserve">$100,000/month = $1.2M/year</w:t>
      </w:r>
    </w:p>
    <w:p>
      <w:pPr>
        <w:pStyle w:val="Heading2"/>
        <w:spacing w:after="200" w:before="360"/>
      </w:pPr>
      <w:r>
        <w:rPr>
          <w:rFonts w:ascii="Georgia" w:cs="Georgia" w:eastAsia="Georgia" w:hAnsi="Georgia"/>
          <w:b/>
          <w:bCs/>
          <w:color w:val="333333"/>
        </w:rPr>
        <w:t xml:space="preserve">Stream 9: PROM/PROMIS Outcomes Data</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2 — when passive PROMIS inference generates longitudinal data</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Health plans, ACOs, research institutions, pharmaceutical companies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co-op.care generates continuous Patient-Reported Outcome Measures (PROMs) and PROMIS T-scores from every visit — passively, without questionnaires. This longitudinal outcomes data is extraordinarily valuable for: (1) health plans measuring quality metrics, (2) ACOs demonstrating value-based care outcomes, (3) pharmaceutical companies tracking real-world treatment effectiveness, (4) research institutions studying aging populations.</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De-identified, aggregate outcomes data licensing. Per-query research access fees. Quality reporting partnerships with health plans.</w:t>
      </w:r>
    </w:p>
    <w:p>
      <w:pPr>
        <w:spacing w:after="120" w:line="276"/>
      </w:pPr>
      <w:r>
        <w:rPr>
          <w:rFonts w:ascii="Georgia" w:cs="Georgia" w:eastAsia="Georgia" w:hAnsi="Georgia"/>
          <w:b/>
          <w:bCs/>
          <w:color w:val="2E5E50"/>
          <w:sz w:val="22"/>
          <w:szCs w:val="22"/>
        </w:rPr>
        <w:t xml:space="preserve">Key differentiator: </w:t>
      </w:r>
      <w:r>
        <w:rPr>
          <w:rFonts w:ascii="Georgia" w:cs="Georgia" w:eastAsia="Georgia" w:hAnsi="Georgia"/>
          <w:color w:val="444444"/>
          <w:sz w:val="22"/>
          <w:szCs w:val="22"/>
        </w:rPr>
        <w:t xml:space="preserve">Nobody else generates continuous PROMIS data from ambient clinical conversation in the home. This is proprietary data that doesn't exist anywhere else in the market.</w:t>
      </w:r>
    </w:p>
    <w:p>
      <w:pPr>
        <w:spacing w:after="120" w:line="276"/>
      </w:pPr>
      <w:r>
        <w:rPr>
          <w:rFonts w:ascii="Georgia" w:cs="Georgia" w:eastAsia="Georgia" w:hAnsi="Georgia"/>
          <w:b/>
          <w:bCs/>
          <w:color w:val="2E5E50"/>
          <w:sz w:val="22"/>
          <w:szCs w:val="22"/>
        </w:rPr>
        <w:t xml:space="preserve">Conservative estimate: </w:t>
      </w:r>
      <w:r>
        <w:rPr>
          <w:rFonts w:ascii="Georgia" w:cs="Georgia" w:eastAsia="Georgia" w:hAnsi="Georgia"/>
          <w:color w:val="444444"/>
          <w:sz w:val="22"/>
          <w:szCs w:val="22"/>
        </w:rPr>
        <w:t xml:space="preserve">$100,000–$500,000/year at scale from data licensing alone</w:t>
      </w:r>
    </w:p>
    <w:p>
      <w:r>
        <w:br w:type="page"/>
      </w:r>
    </w:p>
    <w:p>
      <w:pPr>
        <w:pStyle w:val="Heading2"/>
        <w:spacing w:after="200" w:before="360"/>
      </w:pPr>
      <w:r>
        <w:rPr>
          <w:rFonts w:ascii="Georgia" w:cs="Georgia" w:eastAsia="Georgia" w:hAnsi="Georgia"/>
          <w:b/>
          <w:bCs/>
          <w:color w:val="333333"/>
        </w:rPr>
        <w:t xml:space="preserve">Stream 10: LEAD Model &amp; CARA Contracts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2027 — when LEAD Model launches (RFA opens March 2026)</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CMS Innovation Center</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The LEAD (Long-term Enhanced ACO Design) Model is CMS's newest ACO program — a 10-year voluntary model launching January 1, 2027. It explicitly targets homebound and home-limited patients, dually eligible beneficiaries, and smaller/independent providers. CARA (CMS Administered Risk Arrangements) enables episode-based risk arrangements between ACOs and downstream providers, including a falls prevention program.</w:t>
      </w:r>
    </w:p>
    <w:p>
      <w:pPr>
        <w:spacing w:after="160" w:line="276"/>
      </w:pPr>
      <w:r>
        <w:rPr>
          <w:rFonts w:ascii="Georgia" w:cs="Georgia" w:eastAsia="Georgia" w:hAnsi="Georgia"/>
          <w:color w:val="333333"/>
          <w:sz w:val="22"/>
          <w:szCs w:val="22"/>
        </w:rPr>
        <w:t xml:space="preserve">co-op.care's fit is precise:</w:t>
      </w:r>
    </w:p>
    <w:p>
      <w:pPr>
        <w:spacing w:after="160" w:line="276"/>
      </w:pPr>
      <w:r>
        <w:rPr>
          <w:rFonts w:ascii="Georgia" w:cs="Georgia" w:eastAsia="Georgia" w:hAnsi="Georgia"/>
          <w:color w:val="333333"/>
          <w:sz w:val="22"/>
          <w:szCs w:val="22"/>
        </w:rPr>
        <w:t xml:space="preserve">• LEAD prioritizes homebound patients — our entire population</w:t>
      </w:r>
    </w:p>
    <w:p>
      <w:pPr>
        <w:spacing w:after="160" w:line="276"/>
      </w:pPr>
      <w:r>
        <w:rPr>
          <w:rFonts w:ascii="Georgia" w:cs="Georgia" w:eastAsia="Georgia" w:hAnsi="Georgia"/>
          <w:color w:val="333333"/>
          <w:sz w:val="22"/>
          <w:szCs w:val="22"/>
        </w:rPr>
        <w:t xml:space="preserve">• LEAD supports smaller, independent providers — we're a cooperative, not a hospital system</w:t>
      </w:r>
    </w:p>
    <w:p>
      <w:pPr>
        <w:spacing w:after="160" w:line="276"/>
      </w:pPr>
      <w:r>
        <w:rPr>
          <w:rFonts w:ascii="Georgia" w:cs="Georgia" w:eastAsia="Georgia" w:hAnsi="Georgia"/>
          <w:color w:val="333333"/>
          <w:sz w:val="22"/>
          <w:szCs w:val="22"/>
        </w:rPr>
        <w:t xml:space="preserve">• LEAD's 10-year performance period matches our federation timeline</w:t>
      </w:r>
    </w:p>
    <w:p>
      <w:pPr>
        <w:spacing w:after="160" w:line="276"/>
      </w:pPr>
      <w:r>
        <w:rPr>
          <w:rFonts w:ascii="Georgia" w:cs="Georgia" w:eastAsia="Georgia" w:hAnsi="Georgia"/>
          <w:color w:val="333333"/>
          <w:sz w:val="22"/>
          <w:szCs w:val="22"/>
        </w:rPr>
        <w:t xml:space="preserve">• CARA's falls prevention episodes align with CareCapture fall risk monitoring</w:t>
      </w:r>
    </w:p>
    <w:p>
      <w:pPr>
        <w:spacing w:after="160" w:line="276"/>
      </w:pPr>
      <w:r>
        <w:rPr>
          <w:rFonts w:ascii="Georgia" w:cs="Georgia" w:eastAsia="Georgia" w:hAnsi="Georgia"/>
          <w:color w:val="333333"/>
          <w:sz w:val="22"/>
          <w:szCs w:val="22"/>
        </w:rPr>
        <w:t xml:space="preserve">• LEAD's Medicaid integration planning (2026–2027) aligns with Colorado dual-eligible population</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co-op.care partners with an ACO as a preferred downstream home care provider. The ACO receives capitated population-based payments. co-op.care receives sub-capitated payments for home-based care coordination, plus shared savings from reduced hospitalizations and ED visits.</w:t>
      </w:r>
    </w:p>
    <w:p>
      <w:pPr>
        <w:spacing w:after="120" w:line="276"/>
      </w:pPr>
      <w:r>
        <w:rPr>
          <w:rFonts w:ascii="Georgia" w:cs="Georgia" w:eastAsia="Georgia" w:hAnsi="Georgia"/>
          <w:b/>
          <w:bCs/>
          <w:color w:val="2E5E50"/>
          <w:sz w:val="22"/>
          <w:szCs w:val="22"/>
        </w:rPr>
        <w:t xml:space="preserve">Prospective payments: </w:t>
      </w:r>
      <w:r>
        <w:rPr>
          <w:rFonts w:ascii="Georgia" w:cs="Georgia" w:eastAsia="Georgia" w:hAnsi="Georgia"/>
          <w:color w:val="444444"/>
          <w:sz w:val="22"/>
          <w:szCs w:val="22"/>
        </w:rPr>
        <w:t xml:space="preserve">LEAD offers prospective, capitated payments — meaning cash flow before services are delivered</w:t>
      </w:r>
    </w:p>
    <w:p>
      <w:pPr>
        <w:spacing w:after="120" w:line="276"/>
      </w:pPr>
      <w:r>
        <w:rPr>
          <w:rFonts w:ascii="Georgia" w:cs="Georgia" w:eastAsia="Georgia" w:hAnsi="Georgia"/>
          <w:b/>
          <w:bCs/>
          <w:color w:val="2E5E50"/>
          <w:sz w:val="22"/>
          <w:szCs w:val="22"/>
        </w:rPr>
        <w:t xml:space="preserve">At 500 attributed patients × $200/mo shared savings: </w:t>
      </w:r>
      <w:r>
        <w:rPr>
          <w:rFonts w:ascii="Georgia" w:cs="Georgia" w:eastAsia="Georgia" w:hAnsi="Georgia"/>
          <w:color w:val="444444"/>
          <w:sz w:val="22"/>
          <w:szCs w:val="22"/>
        </w:rPr>
        <w:t xml:space="preserve">$100,000/month = $1.2M/year</w:t>
      </w:r>
    </w:p>
    <w:p>
      <w:pPr>
        <w:pStyle w:val="Heading2"/>
        <w:spacing w:after="200" w:before="360"/>
      </w:pPr>
      <w:r>
        <w:rPr>
          <w:rFonts w:ascii="Georgia" w:cs="Georgia" w:eastAsia="Georgia" w:hAnsi="Georgia"/>
          <w:b/>
          <w:bCs/>
          <w:color w:val="333333"/>
        </w:rPr>
        <w:t xml:space="preserve">Stream 11: ACO Partnership Contracts</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Phase 2–3 — when clinical outcomes demonstrate reduced utilization</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Medicare Shared Savings Program ACOs, commercial ACOs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There are 511 ACOs in the Medicare Shared Savings Program serving 12.6 million beneficiaries as of 2026. These ACOs are accountable for total cost of care and share in savings when they reduce hospitalizations and ED visits. Home-based care that prevents hospitalizations is pure profit for ACOs.</w:t>
      </w:r>
    </w:p>
    <w:p>
      <w:pPr>
        <w:spacing w:after="120" w:line="276"/>
      </w:pPr>
      <w:r>
        <w:rPr>
          <w:rFonts w:ascii="Georgia" w:cs="Georgia" w:eastAsia="Georgia" w:hAnsi="Georgia"/>
          <w:b/>
          <w:bCs/>
          <w:color w:val="2E5E50"/>
          <w:sz w:val="22"/>
          <w:szCs w:val="22"/>
        </w:rPr>
        <w:t xml:space="preserve">Revenue mechanism: </w:t>
      </w:r>
      <w:r>
        <w:rPr>
          <w:rFonts w:ascii="Georgia" w:cs="Georgia" w:eastAsia="Georgia" w:hAnsi="Georgia"/>
          <w:color w:val="444444"/>
          <w:sz w:val="22"/>
          <w:szCs w:val="22"/>
        </w:rPr>
        <w:t xml:space="preserve">Performance-based contracts. co-op.care provides home monitoring, care coordination, and transition support. ACO pays per-member-per-month fee plus a share of savings generated by reduced acute care utilization.</w:t>
      </w:r>
    </w:p>
    <w:p>
      <w:pPr>
        <w:spacing w:after="120" w:line="276"/>
      </w:pPr>
      <w:r>
        <w:rPr>
          <w:rFonts w:ascii="Georgia" w:cs="Georgia" w:eastAsia="Georgia" w:hAnsi="Georgia"/>
          <w:b/>
          <w:bCs/>
          <w:color w:val="2E5E50"/>
          <w:sz w:val="22"/>
          <w:szCs w:val="22"/>
        </w:rPr>
        <w:t xml:space="preserve">The data advantage: </w:t>
      </w:r>
      <w:r>
        <w:rPr>
          <w:rFonts w:ascii="Georgia" w:cs="Georgia" w:eastAsia="Georgia" w:hAnsi="Georgia"/>
          <w:color w:val="444444"/>
          <w:sz w:val="22"/>
          <w:szCs w:val="22"/>
        </w:rPr>
        <w:t xml:space="preserve">CareCapture + passive PROMIS + AmbientScribe gives ACOs exactly what they need: continuous risk stratification, early intervention signals, and documented care coordination. No other home care provider delivers this data package.</w:t>
      </w:r>
    </w:p>
    <w:p>
      <w:pPr>
        <w:spacing w:after="120" w:line="276"/>
      </w:pPr>
      <w:r>
        <w:rPr>
          <w:rFonts w:ascii="Georgia" w:cs="Georgia" w:eastAsia="Georgia" w:hAnsi="Georgia"/>
          <w:b/>
          <w:bCs/>
          <w:color w:val="2E5E50"/>
          <w:sz w:val="22"/>
          <w:szCs w:val="22"/>
        </w:rPr>
        <w:t xml:space="preserve">At 3 ACO contracts × $500K/year: </w:t>
      </w:r>
      <w:r>
        <w:rPr>
          <w:rFonts w:ascii="Georgia" w:cs="Georgia" w:eastAsia="Georgia" w:hAnsi="Georgia"/>
          <w:color w:val="444444"/>
          <w:sz w:val="22"/>
          <w:szCs w:val="22"/>
        </w:rPr>
        <w:t xml:space="preserve">$1.5M/year</w:t>
      </w:r>
    </w:p>
    <w:p>
      <w:pPr>
        <w:pStyle w:val="Heading2"/>
        <w:spacing w:after="200" w:before="360"/>
      </w:pPr>
      <w:r>
        <w:rPr>
          <w:rFonts w:ascii="Georgia" w:cs="Georgia" w:eastAsia="Georgia" w:hAnsi="Georgia"/>
          <w:b/>
          <w:bCs/>
          <w:color w:val="333333"/>
        </w:rPr>
        <w:t xml:space="preserve">Stream 12: Age-in-Place Insurance</w:t>
      </w:r>
    </w:p>
    <w:p>
      <w:pPr>
        <w:spacing w:after="120" w:line="276"/>
      </w:pPr>
      <w:r>
        <w:rPr>
          <w:rFonts w:ascii="Georgia" w:cs="Georgia" w:eastAsia="Georgia" w:hAnsi="Georgia"/>
          <w:b/>
          <w:bCs/>
          <w:color w:val="2E5E50"/>
          <w:sz w:val="22"/>
          <w:szCs w:val="22"/>
        </w:rPr>
        <w:t xml:space="preserve">Activates: </w:t>
      </w:r>
      <w:r>
        <w:rPr>
          <w:rFonts w:ascii="Georgia" w:cs="Georgia" w:eastAsia="Georgia" w:hAnsi="Georgia"/>
          <w:color w:val="444444"/>
          <w:sz w:val="22"/>
          <w:szCs w:val="22"/>
        </w:rPr>
        <w:t xml:space="preserve">2028–2029 — when actuarial data from CareCapture/PROMIS enables underwriting</w:t>
      </w:r>
    </w:p>
    <w:p>
      <w:pPr>
        <w:spacing w:after="120" w:line="276"/>
      </w:pPr>
      <w:r>
        <w:rPr>
          <w:rFonts w:ascii="Georgia" w:cs="Georgia" w:eastAsia="Georgia" w:hAnsi="Georgia"/>
          <w:b/>
          <w:bCs/>
          <w:color w:val="2E5E50"/>
          <w:sz w:val="22"/>
          <w:szCs w:val="22"/>
        </w:rPr>
        <w:t xml:space="preserve">Payer: </w:t>
      </w:r>
      <w:r>
        <w:rPr>
          <w:rFonts w:ascii="Georgia" w:cs="Georgia" w:eastAsia="Georgia" w:hAnsi="Georgia"/>
          <w:color w:val="444444"/>
          <w:sz w:val="22"/>
          <w:szCs w:val="22"/>
        </w:rPr>
        <w:t xml:space="preserve">Families, employers, Medicare Advantage plans</w:t>
      </w:r>
    </w:p>
    <w:p>
      <w:pPr>
        <w:spacing w:after="120" w:line="276"/>
      </w:pPr>
      <w:r>
        <w:rPr>
          <w:rFonts w:ascii="Georgia" w:cs="Georgia" w:eastAsia="Georgia" w:hAnsi="Georgia"/>
          <w:b/>
          <w:bCs/>
          <w:color w:val="2E5E50"/>
          <w:sz w:val="22"/>
          <w:szCs w:val="22"/>
        </w:rPr>
        <w:t xml:space="preserve">What it is: </w:t>
      </w:r>
      <w:r>
        <w:rPr>
          <w:rFonts w:ascii="Georgia" w:cs="Georgia" w:eastAsia="Georgia" w:hAnsi="Georgia"/>
          <w:color w:val="444444"/>
          <w:sz w:val="22"/>
          <w:szCs w:val="22"/>
        </w:rPr>
        <w:t xml:space="preserve">The endgame. co-op.care has something no insurance company has: continuous, passive, longitudinal health data from the home. After 18–24 months of CareCapture and PROMIS data collection, we have the actuarial foundation to underwrite an age-in-place insurance product.</w:t>
      </w:r>
    </w:p>
    <w:p>
      <w:pPr>
        <w:spacing w:after="120" w:line="276"/>
      </w:pPr>
      <w:r>
        <w:rPr>
          <w:rFonts w:ascii="Georgia" w:cs="Georgia" w:eastAsia="Georgia" w:hAnsi="Georgia"/>
          <w:b/>
          <w:bCs/>
          <w:color w:val="2E5E50"/>
          <w:sz w:val="22"/>
          <w:szCs w:val="22"/>
        </w:rPr>
        <w:t xml:space="preserve">Structure: </w:t>
      </w:r>
      <w:r>
        <w:rPr>
          <w:rFonts w:ascii="Georgia" w:cs="Georgia" w:eastAsia="Georgia" w:hAnsi="Georgia"/>
          <w:color w:val="444444"/>
          <w:sz w:val="22"/>
          <w:szCs w:val="22"/>
        </w:rPr>
        <w:t xml:space="preserve">MGA (Managing General Agent) distributing paper from a licensed fronting carrier. co-op.care does not need to become a licensed insurer (which requires $1–5M minimum capital). The MGA structure lets us design, price, and distribute the product while the fronting carrier provides the regulatory license and balance sheet.</w:t>
      </w:r>
    </w:p>
    <w:p>
      <w:pPr>
        <w:spacing w:after="120" w:line="276"/>
      </w:pPr>
      <w:r>
        <w:rPr>
          <w:rFonts w:ascii="Georgia" w:cs="Georgia" w:eastAsia="Georgia" w:hAnsi="Georgia"/>
          <w:b/>
          <w:bCs/>
          <w:color w:val="2E5E50"/>
          <w:sz w:val="22"/>
          <w:szCs w:val="22"/>
        </w:rPr>
        <w:t xml:space="preserve">The product: </w:t>
      </w:r>
      <w:r>
        <w:rPr>
          <w:rFonts w:ascii="Georgia" w:cs="Georgia" w:eastAsia="Georgia" w:hAnsi="Georgia"/>
          <w:color w:val="444444"/>
          <w:sz w:val="22"/>
          <w:szCs w:val="22"/>
        </w:rPr>
        <w:t xml:space="preserve">Monthly premium covers a guaranteed care package: physician oversight, care coordination, a defined number of companion/personal care hours per month, Time Bank access, wellness referrals. Families pay a predictable premium instead of unpredictable care bills.</w:t>
      </w:r>
    </w:p>
    <w:p>
      <w:pPr>
        <w:spacing w:after="120" w:line="276"/>
      </w:pPr>
      <w:r>
        <w:rPr>
          <w:rFonts w:ascii="Georgia" w:cs="Georgia" w:eastAsia="Georgia" w:hAnsi="Georgia"/>
          <w:b/>
          <w:bCs/>
          <w:color w:val="2E5E50"/>
          <w:sz w:val="22"/>
          <w:szCs w:val="22"/>
        </w:rPr>
        <w:t xml:space="preserve">The moat: </w:t>
      </w:r>
      <w:r>
        <w:rPr>
          <w:rFonts w:ascii="Georgia" w:cs="Georgia" w:eastAsia="Georgia" w:hAnsi="Georgia"/>
          <w:color w:val="444444"/>
          <w:sz w:val="22"/>
          <w:szCs w:val="22"/>
        </w:rPr>
        <w:t xml:space="preserve">Proprietary underwriting data. Every CII score, every PROMIS trajectory, every caregiver observation from every visit — this is the dataset that lets co-op.care price risk more accurately than any traditional long-term care insurer. Traditional LTCI companies have claims data. We have continuous health data.</w:t>
      </w:r>
    </w:p>
    <w:p>
      <w:pPr>
        <w:spacing w:after="120" w:line="276"/>
      </w:pPr>
      <w:r>
        <w:rPr>
          <w:rFonts w:ascii="Georgia" w:cs="Georgia" w:eastAsia="Georgia" w:hAnsi="Georgia"/>
          <w:b/>
          <w:bCs/>
          <w:color w:val="2E5E50"/>
          <w:sz w:val="22"/>
          <w:szCs w:val="22"/>
        </w:rPr>
        <w:t xml:space="preserve">Premium estimate: </w:t>
      </w:r>
      <w:r>
        <w:rPr>
          <w:rFonts w:ascii="Georgia" w:cs="Georgia" w:eastAsia="Georgia" w:hAnsi="Georgia"/>
          <w:color w:val="444444"/>
          <w:sz w:val="22"/>
          <w:szCs w:val="22"/>
        </w:rPr>
        <w:t xml:space="preserve">$200–$800/month depending on acuity and age</w:t>
      </w:r>
    </w:p>
    <w:p>
      <w:pPr>
        <w:spacing w:after="120" w:line="276"/>
      </w:pPr>
      <w:r>
        <w:rPr>
          <w:rFonts w:ascii="Georgia" w:cs="Georgia" w:eastAsia="Georgia" w:hAnsi="Georgia"/>
          <w:b/>
          <w:bCs/>
          <w:color w:val="2E5E50"/>
          <w:sz w:val="22"/>
          <w:szCs w:val="22"/>
        </w:rPr>
        <w:t xml:space="preserve">At 1,000 policyholders × $400/mo avg: </w:t>
      </w:r>
      <w:r>
        <w:rPr>
          <w:rFonts w:ascii="Georgia" w:cs="Georgia" w:eastAsia="Georgia" w:hAnsi="Georgia"/>
          <w:color w:val="444444"/>
          <w:sz w:val="22"/>
          <w:szCs w:val="22"/>
        </w:rPr>
        <w:t xml:space="preserve">$400,000/month = $4.8M/year in premium revenue</w:t>
      </w:r>
    </w:p>
    <w:p>
      <w:pPr>
        <w:spacing w:after="160" w:line="276"/>
      </w:pPr>
      <w:r>
        <w:rPr>
          <w:rFonts w:ascii="Georgia" w:cs="Georgia" w:eastAsia="Georgia" w:hAnsi="Georgia"/>
          <w:color w:val="333333"/>
          <w:sz w:val="22"/>
          <w:szCs w:val="22"/>
        </w:rPr>
        <w:t xml:space="preserve">This is the stream that changes everything. When a family can insure against the cost of aging in place — with an organization that actually provides the care, tracks the outcomes, and adjusts in real time — the entire economics of eldercare shift. This is the "own your future" product.</w:t>
      </w:r>
    </w:p>
    <w:p>
      <w:r>
        <w:br w:type="page"/>
      </w:r>
    </w:p>
    <w:p>
      <w:pPr>
        <w:pStyle w:val="Heading1"/>
        <w:spacing w:after="200" w:before="360"/>
      </w:pPr>
      <w:r>
        <w:rPr>
          <w:rFonts w:ascii="Georgia" w:cs="Georgia" w:eastAsia="Georgia" w:hAnsi="Georgia"/>
          <w:b/>
          <w:bCs/>
          <w:color w:val="2E5E50"/>
        </w:rPr>
        <w:t xml:space="preserve">III. When Each Stream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760"/>
        <w:gridCol w:w="2200"/>
      </w:tblGrid>
      <w:tr>
        <w:tc>
          <w:tcPr>
            <w:tcW w:type="dxa" w:w="16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Revenue Streams Active</w:t>
            </w:r>
          </w:p>
        </w:tc>
        <w:tc>
          <w:tcPr>
            <w:tcW w:type="dxa" w:w="22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Est. Annual Rev</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Pre-revenue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Now – Q2 2026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Membership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$0–$50K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Q3–Q4 2026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Membership + Comfort Card + Wellness Network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$50K–$200K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2027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All Phase 1 + Companion Care + PIN/CHI + DPC + PROMIS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$500K–$2M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2028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All Phase 2 + PACE + LEAD/CARA + ACO Contracts + City Sales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$2M–$6M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2029+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All Phase 3 + Age-in-Place Insurance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$6M–$15M+</w:t>
            </w:r>
          </w:p>
        </w:tc>
      </w:tr>
    </w:tbl>
    <w:p>
      <w:pPr>
        <w:spacing w:after="160" w:line="276"/>
      </w:pPr>
      <w:r>
        <w:rPr>
          <w:rFonts w:ascii="Georgia" w:cs="Georgia" w:eastAsia="Georgia" w:hAnsi="Georgia"/>
          <w:color w:val="333333"/>
          <w:sz w:val="22"/>
          <w:szCs w:val="22"/>
        </w:rPr>
        <w:t xml:space="preserve"/>
      </w:r>
    </w:p>
    <w:p>
      <w:pPr>
        <w:spacing w:after="160" w:line="276"/>
      </w:pPr>
      <w:r>
        <w:rPr>
          <w:rFonts w:ascii="Georgia" w:cs="Georgia" w:eastAsia="Georgia" w:hAnsi="Georgia"/>
          <w:color w:val="333333"/>
          <w:sz w:val="22"/>
          <w:szCs w:val="22"/>
        </w:rPr>
        <w:t xml:space="preserve">Every phase builds on the previous. Membership is the wedge. Care services are the engine. Federal programs are the accelerant. Insurance is the endgame. At no point does a prior stream become obsolete — they stack.</w:t>
      </w:r>
    </w:p>
    <w:p>
      <w:pPr>
        <w:pStyle w:val="Heading1"/>
        <w:spacing w:after="200" w:before="360"/>
      </w:pPr>
      <w:r>
        <w:rPr>
          <w:rFonts w:ascii="Georgia" w:cs="Georgia" w:eastAsia="Georgia" w:hAnsi="Georgia"/>
          <w:b/>
          <w:bCs/>
          <w:color w:val="2E5E50"/>
        </w:rPr>
        <w:t xml:space="preserve">IV. Keeping Everyone Employed and Happy</w:t>
      </w:r>
    </w:p>
    <w:p>
      <w:pPr>
        <w:spacing w:after="160" w:line="276"/>
      </w:pPr>
      <w:r>
        <w:rPr>
          <w:rFonts w:ascii="Georgia" w:cs="Georgia" w:eastAsia="Georgia" w:hAnsi="Georgia"/>
          <w:color w:val="333333"/>
          <w:sz w:val="22"/>
          <w:szCs w:val="22"/>
        </w:rPr>
        <w:t xml:space="preserve">This revenue architecture is designed around people, not margins. Every stream exists to sustain the humans who make care possible.</w:t>
      </w:r>
    </w:p>
    <w:p>
      <w:pPr>
        <w:pStyle w:val="Heading2"/>
        <w:spacing w:after="200" w:before="360"/>
      </w:pPr>
      <w:r>
        <w:rPr>
          <w:rFonts w:ascii="Georgia" w:cs="Georgia" w:eastAsia="Georgia" w:hAnsi="Georgia"/>
          <w:b/>
          <w:bCs/>
          <w:color w:val="333333"/>
        </w:rPr>
        <w:t xml:space="preserve">Caregivers (W-2 Worker-Owners)</w:t>
      </w:r>
    </w:p>
    <w:p>
      <w:pPr>
        <w:spacing w:after="160" w:line="276"/>
      </w:pPr>
      <w:r>
        <w:rPr>
          <w:rFonts w:ascii="Georgia" w:cs="Georgia" w:eastAsia="Georgia" w:hAnsi="Georgia"/>
          <w:color w:val="333333"/>
          <w:sz w:val="22"/>
          <w:szCs w:val="22"/>
        </w:rPr>
        <w:t xml:space="preserve">$25–28/hour base wage, W-2 with benefits, equity accrual with every shift. Funded by: companion/personal care services (Stream 5), PIN/CHI billing (Stream 3), PACE sub-capitation (Stream 8). The cooperative structure means they own what they build. Retention is the competitive advantage — 85% vs. 20% industry average.</w:t>
      </w:r>
    </w:p>
    <w:p>
      <w:pPr>
        <w:pStyle w:val="Heading2"/>
        <w:spacing w:after="200" w:before="360"/>
      </w:pPr>
      <w:r>
        <w:rPr>
          <w:rFonts w:ascii="Georgia" w:cs="Georgia" w:eastAsia="Georgia" w:hAnsi="Georgia"/>
          <w:b/>
          <w:bCs/>
          <w:color w:val="333333"/>
        </w:rPr>
        <w:t xml:space="preserve">Physician Oversight</w:t>
      </w:r>
    </w:p>
    <w:p>
      <w:pPr>
        <w:spacing w:after="160" w:line="276"/>
      </w:pPr>
      <w:r>
        <w:rPr>
          <w:rFonts w:ascii="Georgia" w:cs="Georgia" w:eastAsia="Georgia" w:hAnsi="Georgia"/>
          <w:color w:val="333333"/>
          <w:sz w:val="22"/>
          <w:szCs w:val="22"/>
        </w:rPr>
        <w:t xml:space="preserve">Josh Emdur's LMN generation is funded by the $59/mo membership (Stream 1) at ~1–2 hours/week. As volume scales, the physician network expands — funded by PIN/CHI billing (Stream 3) and PACE capitation (Stream 8). Clinical review time is offset by AI pre-screening (CareCapture flags, passive PROMIS threshold crossings), so physician time is spent on judgment, not data review.</w:t>
      </w:r>
    </w:p>
    <w:p>
      <w:pPr>
        <w:pStyle w:val="Heading2"/>
        <w:spacing w:after="200" w:before="360"/>
      </w:pPr>
      <w:r>
        <w:rPr>
          <w:rFonts w:ascii="Georgia" w:cs="Georgia" w:eastAsia="Georgia" w:hAnsi="Georgia"/>
          <w:b/>
          <w:bCs/>
          <w:color w:val="333333"/>
        </w:rPr>
        <w:t xml:space="preserve">Time Bank Neighbors</w:t>
      </w:r>
    </w:p>
    <w:p>
      <w:pPr>
        <w:spacing w:after="160" w:line="276"/>
      </w:pPr>
      <w:r>
        <w:rPr>
          <w:rFonts w:ascii="Georgia" w:cs="Georgia" w:eastAsia="Georgia" w:hAnsi="Georgia"/>
          <w:color w:val="333333"/>
          <w:sz w:val="22"/>
          <w:szCs w:val="22"/>
        </w:rPr>
        <w:t xml:space="preserve">$0 cost to co-op.care. Neighbors exchange hours, not dollars. The Time Bank is the community battery — it provides care capacity at zero labor cost while building social fabric. Funded by: nothing. It funds itself through reciprocity.</w:t>
      </w:r>
    </w:p>
    <w:p>
      <w:pPr>
        <w:pStyle w:val="Heading2"/>
        <w:spacing w:after="200" w:before="360"/>
      </w:pPr>
      <w:r>
        <w:rPr>
          <w:rFonts w:ascii="Georgia" w:cs="Georgia" w:eastAsia="Georgia" w:hAnsi="Georgia"/>
          <w:b/>
          <w:bCs/>
          <w:color w:val="333333"/>
        </w:rPr>
        <w:t xml:space="preserve">Wellness Providers</w:t>
      </w:r>
    </w:p>
    <w:p>
      <w:pPr>
        <w:spacing w:after="160" w:line="276"/>
      </w:pPr>
      <w:r>
        <w:rPr>
          <w:rFonts w:ascii="Georgia" w:cs="Georgia" w:eastAsia="Georgia" w:hAnsi="Georgia"/>
          <w:color w:val="333333"/>
          <w:sz w:val="22"/>
          <w:szCs w:val="22"/>
        </w:rPr>
        <w:t xml:space="preserve">Independent contractors in the community. co-op.care sends them pre-qualified, HSA/FSA-armed patients. They keep 85–90% of session fees. Funded by: family payments for wellness services, made possible by the LMN (Stream 4).</w:t>
      </w:r>
    </w:p>
    <w:p>
      <w:pPr>
        <w:pStyle w:val="Heading2"/>
        <w:spacing w:after="200" w:before="360"/>
      </w:pPr>
      <w:r>
        <w:rPr>
          <w:rFonts w:ascii="Georgia" w:cs="Georgia" w:eastAsia="Georgia" w:hAnsi="Georgia"/>
          <w:b/>
          <w:bCs/>
          <w:color w:val="333333"/>
        </w:rPr>
        <w:t xml:space="preserve">Technology &amp; Operations</w:t>
      </w:r>
    </w:p>
    <w:p>
      <w:pPr>
        <w:spacing w:after="160" w:line="276"/>
      </w:pPr>
      <w:r>
        <w:rPr>
          <w:rFonts w:ascii="Georgia" w:cs="Georgia" w:eastAsia="Georgia" w:hAnsi="Georgia"/>
          <w:color w:val="333333"/>
          <w:sz w:val="22"/>
          <w:szCs w:val="22"/>
        </w:rPr>
        <w:t xml:space="preserve">CareOS platform, Sage AI, AmbientScribe parser — funded by membership revenue (Stream 1) at the base layer, then by platform fees from federation instances as the network scales. The technology team is employed by co-op.care Technologies LLC, the shared-services entity that powers all cooperative instances.</w:t>
      </w:r>
    </w:p>
    <w:p>
      <w:r>
        <w:br w:type="page"/>
      </w:r>
    </w:p>
    <w:p>
      <w:pPr>
        <w:pStyle w:val="Heading1"/>
        <w:spacing w:after="200" w:before="360"/>
      </w:pPr>
      <w:r>
        <w:rPr>
          <w:rFonts w:ascii="Georgia" w:cs="Georgia" w:eastAsia="Georgia" w:hAnsi="Georgia"/>
          <w:b/>
          <w:bCs/>
          <w:color w:val="2E5E50"/>
        </w:rPr>
        <w:t xml:space="preserve">V. The Math at Scale</w:t>
      </w:r>
    </w:p>
    <w:p>
      <w:pPr>
        <w:spacing w:after="160" w:line="276"/>
      </w:pPr>
      <w:r>
        <w:rPr>
          <w:rFonts w:ascii="Georgia" w:cs="Georgia" w:eastAsia="Georgia" w:hAnsi="Georgia"/>
          <w:color w:val="333333"/>
          <w:sz w:val="22"/>
          <w:szCs w:val="22"/>
        </w:rPr>
        <w:t xml:space="preserve">At 5,000 member families across 100 cooperative instances (the conservative 3-year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Revenue Stream</w:t>
            </w:r>
          </w:p>
        </w:tc>
        <w:tc>
          <w:tcPr>
            <w:tcW w:type="dxa" w:w="280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Annual Revenue</w:t>
            </w:r>
          </w:p>
        </w:tc>
        <w:tc>
          <w:tcPr>
            <w:tcW w:type="dxa" w:w="2560"/>
            <w:tcBorders>
              <w:top w:val="single" w:color="CCCCCC" w:sz="1"/>
              <w:left w:val="single" w:color="CCCCCC" w:sz="1"/>
              <w:bottom w:val="single" w:color="CCCCCC" w:sz="1"/>
              <w:right w:val="single" w:color="CCCCCC" w:sz="1"/>
            </w:tcBorders>
            <w:shd w:fill="2E5E50" w:val="clear"/>
            <w:tcMar>
              <w:top w:type="dxa" w:w="60"/>
              <w:left w:type="dxa" w:w="100"/>
              <w:bottom w:type="dxa" w:w="60"/>
              <w:right w:type="dxa" w:w="100"/>
            </w:tcMar>
          </w:tcPr>
          <w:p>
            <w:r>
              <w:rPr>
                <w:rFonts w:ascii="Georgia" w:cs="Georgia" w:eastAsia="Georgia" w:hAnsi="Georgia"/>
                <w:b/>
                <w:bCs/>
                <w:color w:val="FFFFFF"/>
                <w:sz w:val="20"/>
                <w:szCs w:val="20"/>
              </w:rPr>
              <w:t xml:space="preserve">% of Total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Membership ($59/mo × 5,000)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$3,540,000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Comfort Card float + fees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PIN/CHI Billing (1,500 qualifying patients)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$1,800,000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Wellness Network (50 providers)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$432,000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Companion/Personal Care 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$12,000,000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City/Municipal Contracts (5 cities)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$1,500,000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DPC Partnerships (25 practices)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$600,000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PACE Sub-capitation (300 enrollees)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$3,600,000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PROMIS Data Licensing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LEAD/CARA + ACO Contracts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$3,000,000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Age-in-Place Insurance (1,000 policies)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$3,600,000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$30,872,000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100%</w:t>
            </w:r>
          </w:p>
        </w:tc>
      </w:tr>
    </w:tbl>
    <w:p>
      <w:pPr>
        <w:spacing w:after="160" w:line="276"/>
      </w:pPr>
      <w:r>
        <w:rPr>
          <w:rFonts w:ascii="Georgia" w:cs="Georgia" w:eastAsia="Georgia" w:hAnsi="Georgia"/>
          <w:color w:val="333333"/>
          <w:sz w:val="22"/>
          <w:szCs w:val="22"/>
        </w:rPr>
        <w:t xml:space="preserve"/>
      </w:r>
    </w:p>
    <w:p>
      <w:pPr>
        <w:spacing w:after="160" w:line="276"/>
      </w:pPr>
      <w:r>
        <w:rPr>
          <w:rFonts w:ascii="Georgia" w:cs="Georgia" w:eastAsia="Georgia" w:hAnsi="Georgia"/>
          <w:color w:val="333333"/>
          <w:sz w:val="22"/>
          <w:szCs w:val="22"/>
        </w:rPr>
        <w:t xml:space="preserve">At 5,000 families — which represents 0.008% of the 63 million family caregivers in America — the revenue model generates $30M+ annually from twelve diversified streams. No single stream exceeds 40% of revenue. The loss of any one stream doesn't kill the organization. This is the resilience of infrastructure, not the fragility of a product company.</w:t>
      </w:r>
    </w:p>
    <w:p>
      <w:pPr>
        <w:spacing w:after="160" w:line="276"/>
        <w:rPr>
          <w:i/>
          <w:iCs/>
          <w:color w:val="2E5E50"/>
        </w:rPr>
      </w:pPr>
      <w:r>
        <w:rPr>
          <w:rFonts w:ascii="Georgia" w:cs="Georgia" w:eastAsia="Georgia" w:hAnsi="Georgia"/>
          <w:i/>
          <w:iCs/>
          <w:color w:val="2E5E50"/>
          <w:sz w:val="22"/>
          <w:szCs w:val="22"/>
        </w:rPr>
        <w:t xml:space="preserve">The daughter at 11pm doesn't see any of this. She sees a $59/month membership that gives her a doctor, a community, tax savings, and the first good night's sleep she's had in months. The revenue architecture is invisible. The care is not.</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CONFIDENTIAL — co-op.care Internal Document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co-op.care Revenue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2E5E50"/>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2026-03-15T01:27:30.730Z</dcterms:created>
  <dcterms:modified xsi:type="dcterms:W3CDTF">2026-03-15T01:27:30.731Z</dcterms:modified>
</cp:coreProperties>
</file>

<file path=docProps/custom.xml><?xml version="1.0" encoding="utf-8"?>
<Properties xmlns="http://schemas.openxmlformats.org/officeDocument/2006/custom-properties" xmlns:vt="http://schemas.openxmlformats.org/officeDocument/2006/docPropsVTypes"/>
</file>