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B4F72"/>
          <w:sz w:val="36"/>
          <w:szCs w:val="36"/>
        </w:rPr>
        <w:t xml:space="preserve">CO-FOUNDER AGREEMENT</w:t>
      </w:r>
    </w:p>
    <w:p>
      <w:pPr>
        <w:spacing w:after="40"/>
        <w:jc w:val="center"/>
      </w:pPr>
      <w:r>
        <w:rPr>
          <w:b/>
          <w:bCs/>
          <w:color w:val="2E75B6"/>
          <w:sz w:val="28"/>
          <w:szCs w:val="28"/>
        </w:rPr>
        <w:t xml:space="preserve">co-op.care Technologies LLC</w:t>
      </w:r>
    </w:p>
    <w:p>
      <w:pPr>
        <w:spacing w:after="40"/>
        <w:jc w:val="center"/>
      </w:pPr>
      <w:r>
        <w:rPr>
          <w:i/>
          <w:iCs/>
          <w:color w:val="666666"/>
          <w:sz w:val="22"/>
          <w:szCs w:val="22"/>
        </w:rPr>
        <w:t xml:space="preserve">A Colorado Limited Liability Company</w:t>
      </w:r>
    </w:p>
    <w:p>
      <w:pPr>
        <w:spacing w:after="300"/>
        <w:jc w:val="center"/>
      </w:pPr>
      <w:r>
        <w:rPr>
          <w:sz w:val="22"/>
          <w:szCs w:val="22"/>
        </w:rPr>
        <w:t xml:space="preserve">Effective Date: March 14, 2026</w:t>
      </w:r>
    </w:p>
    <w:p>
      <w:pPr>
        <w:pStyle w:val="Heading1"/>
        <w:spacing w:after="150" w:before="300"/>
      </w:pPr>
      <w:r>
        <w:rPr>
          <w:b/>
          <w:bCs/>
        </w:rPr>
        <w:t xml:space="preserve">PARTIES</w:t>
      </w:r>
    </w:p>
    <w:p>
      <w:pPr>
        <w:spacing w:after="120"/>
        <w:jc w:val="left"/>
      </w:pPr>
      <w:r>
        <w:rPr>
          <w:sz w:val="22"/>
          <w:szCs w:val="22"/>
        </w:rPr>
        <w:t xml:space="preserve">This Co-Founder Agreement ("Agreement") is entered into as of March 14, 2026 by and between:</w:t>
      </w:r>
    </w:p>
    <w:p>
      <w:pPr>
        <w:spacing w:after="60" w:before="120"/>
        <w:ind w:left="360"/>
      </w:pPr>
      <w:r>
        <w:rPr>
          <w:b/>
          <w:bCs/>
          <w:sz w:val="22"/>
          <w:szCs w:val="22"/>
        </w:rPr>
        <w:t xml:space="preserve">BLAINE WARKENTINE, MD, MBA</w:t>
      </w:r>
      <w:r>
        <w:rPr>
          <w:sz w:val="22"/>
          <w:szCs w:val="22"/>
        </w:rPr>
        <w:t xml:space="preserve"> ("Warkentine")</w:t>
      </w:r>
    </w:p>
    <w:p>
      <w:pPr>
        <w:spacing w:after="120"/>
        <w:ind w:left="360"/>
        <w:jc w:val="left"/>
      </w:pPr>
      <w:r>
        <w:rPr>
          <w:sz w:val="22"/>
          <w:szCs w:val="22"/>
        </w:rPr>
        <w:t xml:space="preserve">Role: Founder, Chief Executive Officer</w:t>
      </w:r>
    </w:p>
    <w:p>
      <w:pPr>
        <w:spacing w:after="120"/>
        <w:ind w:left="360"/>
        <w:jc w:val="left"/>
      </w:pPr>
      <w:r>
        <w:rPr>
          <w:sz w:val="22"/>
          <w:szCs w:val="22"/>
        </w:rPr>
        <w:t xml:space="preserve">Boulder, Colorado</w:t>
      </w:r>
    </w:p>
    <w:p>
      <w:pPr>
        <w:spacing w:after="60" w:before="120"/>
        <w:ind w:left="360"/>
      </w:pPr>
      <w:r>
        <w:rPr>
          <w:b/>
          <w:bCs/>
          <w:sz w:val="22"/>
          <w:szCs w:val="22"/>
        </w:rPr>
        <w:t xml:space="preserve">JOSH EMDUR, DO</w:t>
      </w:r>
      <w:r>
        <w:rPr>
          <w:sz w:val="22"/>
          <w:szCs w:val="22"/>
        </w:rPr>
        <w:t xml:space="preserve"> ("Emdur")</w:t>
      </w:r>
    </w:p>
    <w:p>
      <w:pPr>
        <w:spacing w:after="120"/>
        <w:ind w:left="360"/>
        <w:jc w:val="left"/>
      </w:pPr>
      <w:r>
        <w:rPr>
          <w:sz w:val="22"/>
          <w:szCs w:val="22"/>
        </w:rPr>
        <w:t xml:space="preserve">Role: Co-Founder, Chief Medical Officer</w:t>
      </w:r>
    </w:p>
    <w:p>
      <w:pPr>
        <w:spacing w:after="120"/>
        <w:ind w:left="360"/>
        <w:jc w:val="left"/>
      </w:pPr>
      <w:r>
        <w:rPr>
          <w:sz w:val="22"/>
          <w:szCs w:val="22"/>
        </w:rPr>
        <w:t xml:space="preserve">50-State Licensed Physician (Doctor of Osteopathic Medicine)</w:t>
      </w:r>
    </w:p>
    <w:p>
      <w:pPr>
        <w:spacing w:after="120"/>
        <w:ind w:left="360"/>
        <w:jc w:val="left"/>
      </w:pPr>
      <w:r>
        <w:rPr>
          <w:sz w:val="22"/>
          <w:szCs w:val="22"/>
        </w:rPr>
        <w:t xml:space="preserve">Board-Certified Hospitalist (practicing since 2008)</w:t>
      </w:r>
    </w:p>
    <w:p>
      <w:pPr>
        <w:spacing w:after="120" w:before="120"/>
        <w:jc w:val="left"/>
      </w:pPr>
      <w:r>
        <w:rPr>
          <w:sz w:val="22"/>
          <w:szCs w:val="22"/>
        </w:rPr>
        <w:t xml:space="preserve">(collectively, the "Co-Founders")</w:t>
      </w:r>
    </w:p>
    <w:p>
      <w:pPr>
        <w:pStyle w:val="Heading1"/>
        <w:spacing w:after="150" w:before="300"/>
      </w:pPr>
      <w:r>
        <w:rPr>
          <w:b/>
          <w:bCs/>
        </w:rPr>
        <w:t xml:space="preserve">RECITALS</w:t>
      </w:r>
    </w:p>
    <w:p>
      <w:pPr>
        <w:spacing w:after="120"/>
        <w:jc w:val="left"/>
      </w:pPr>
      <w:r>
        <w:rPr>
          <w:sz w:val="22"/>
          <w:szCs w:val="22"/>
        </w:rPr>
        <w:t xml:space="preserve">WHEREAS, co-op.care Technologies LLC (the "Company") is building infrastructure that captures the captive energy of family caregiving through a worker-owned cooperative model delivering companion, personal, and medical home care;</w:t>
      </w:r>
    </w:p>
    <w:p>
      <w:pPr>
        <w:spacing w:after="120"/>
        <w:jc w:val="left"/>
      </w:pPr>
      <w:r>
        <w:rPr>
          <w:sz w:val="22"/>
          <w:szCs w:val="22"/>
        </w:rPr>
        <w:t xml:space="preserve">WHEREAS, Warkentine has deep expertise in healthcare technology commercialization, health system partnerships, and cooperative business architecture;</w:t>
      </w:r>
    </w:p>
    <w:p>
      <w:pPr>
        <w:spacing w:after="120"/>
        <w:jc w:val="left"/>
      </w:pPr>
      <w:r>
        <w:rPr>
          <w:sz w:val="22"/>
          <w:szCs w:val="22"/>
        </w:rPr>
        <w:t xml:space="preserve">WHEREAS, Emdur holds active medical licenses in all 50 United States and the District of Columbia, providing the Company with a nationally-scalable clinical authority layer essential for Letters of Medical Necessity (LMN) generation, HSA/FSA eligibility determination, and incident-to billing;</w:t>
      </w:r>
    </w:p>
    <w:p>
      <w:pPr>
        <w:spacing w:after="120"/>
        <w:jc w:val="left"/>
      </w:pPr>
      <w:r>
        <w:rPr>
          <w:sz w:val="22"/>
          <w:szCs w:val="22"/>
        </w:rPr>
        <w:t xml:space="preserve">WHEREAS, Emdur currently serves as CMO of an AI physician oversight company, bringing direct expertise in autonomous clinical decision support systems;</w:t>
      </w:r>
    </w:p>
    <w:p>
      <w:pPr>
        <w:spacing w:after="120"/>
        <w:jc w:val="left"/>
      </w:pPr>
      <w:r>
        <w:rPr>
          <w:sz w:val="22"/>
          <w:szCs w:val="22"/>
        </w:rPr>
        <w:t xml:space="preserve">NOW, THEREFORE, in consideration of the mutual promises herein, the Co-Founders agree as follows:</w:t>
      </w:r>
    </w:p>
    <w:p>
      <w:pPr>
        <w:spacing w:after="80" w:before="200"/>
      </w:pPr>
      <w:r>
        <w:rPr>
          <w:b/>
          <w:bCs/>
          <w:sz w:val="22"/>
          <w:szCs w:val="22"/>
        </w:rPr>
        <w:t xml:space="preserve">1. </w:t>
      </w:r>
      <w:r>
        <w:rPr>
          <w:b/>
          <w:bCs/>
          <w:sz w:val="22"/>
          <w:szCs w:val="22"/>
        </w:rPr>
        <w:t xml:space="preserve">ROLES AND RESPONSIBILITIES</w:t>
      </w:r>
    </w:p>
    <w:p>
      <w:pPr>
        <w:spacing w:after="120"/>
        <w:ind w:left="360"/>
        <w:jc w:val="left"/>
      </w:pPr>
      <w:r>
        <w:rPr>
          <w:sz w:val="22"/>
          <w:szCs w:val="22"/>
        </w:rPr>
        <w:t xml:space="preserve">Each Co-Founder shall fulfill the following roles:</w:t>
      </w:r>
    </w:p>
    <w:p>
      <w:pPr>
        <w:spacing w:after="120"/>
        <w:ind w:left="360"/>
        <w:jc w:val="left"/>
      </w:pPr>
      <w:r>
        <w:rPr>
          <w:b/>
          <w:bCs/>
          <w:sz w:val="22"/>
          <w:szCs w:val="22"/>
        </w:rPr>
        <w:t xml:space="preserve">1.1 Blaine Warkentine — CEO &amp; Architect</w:t>
      </w:r>
    </w:p>
    <w:p>
      <w:pPr>
        <w:spacing w:after="120"/>
        <w:ind w:left="720"/>
        <w:jc w:val="left"/>
      </w:pPr>
      <w:r>
        <w:rPr>
          <w:sz w:val="22"/>
          <w:szCs w:val="22"/>
        </w:rPr>
        <w:t xml:space="preserve">(a) Overall company strategy, fundraising, and investor relations</w:t>
      </w:r>
    </w:p>
    <w:p>
      <w:pPr>
        <w:spacing w:after="120"/>
        <w:ind w:left="720"/>
        <w:jc w:val="left"/>
      </w:pPr>
      <w:r>
        <w:rPr>
          <w:sz w:val="22"/>
          <w:szCs w:val="22"/>
        </w:rPr>
        <w:t xml:space="preserve">(b) Health system and employer partnership development</w:t>
      </w:r>
    </w:p>
    <w:p>
      <w:pPr>
        <w:spacing w:after="120"/>
        <w:ind w:left="720"/>
        <w:jc w:val="left"/>
      </w:pPr>
      <w:r>
        <w:rPr>
          <w:sz w:val="22"/>
          <w:szCs w:val="22"/>
        </w:rPr>
        <w:t xml:space="preserve">(c) Regulatory strategy (Colorado Class B/A licensure, CMS ACCESS/ELEVATE)</w:t>
      </w:r>
    </w:p>
    <w:p>
      <w:pPr>
        <w:spacing w:after="120"/>
        <w:ind w:left="720"/>
        <w:jc w:val="left"/>
      </w:pPr>
      <w:r>
        <w:rPr>
          <w:sz w:val="22"/>
          <w:szCs w:val="22"/>
        </w:rPr>
        <w:t xml:space="preserve">(d) Technology architecture and product direction (CareOS platform)</w:t>
      </w:r>
    </w:p>
    <w:p>
      <w:pPr>
        <w:spacing w:after="120"/>
        <w:ind w:left="720"/>
        <w:jc w:val="left"/>
      </w:pPr>
      <w:r>
        <w:rPr>
          <w:sz w:val="22"/>
          <w:szCs w:val="22"/>
        </w:rPr>
        <w:t xml:space="preserve">(e) Cooperative governance structure design</w:t>
      </w:r>
    </w:p>
    <w:p>
      <w:pPr>
        <w:spacing w:after="120"/>
        <w:ind w:left="720"/>
        <w:jc w:val="left"/>
      </w:pPr>
      <w:r>
        <w:rPr>
          <w:sz w:val="22"/>
          <w:szCs w:val="22"/>
        </w:rPr>
        <w:t xml:space="preserve">(f) M&amp;A strategy and federation architecture</w:t>
      </w:r>
    </w:p>
    <w:p>
      <w:pPr>
        <w:spacing w:after="120"/>
        <w:ind w:left="360"/>
        <w:jc w:val="left"/>
      </w:pPr>
      <w:r>
        <w:rPr>
          <w:b/>
          <w:bCs/>
          <w:sz w:val="22"/>
          <w:szCs w:val="22"/>
        </w:rPr>
        <w:t xml:space="preserve">1.2 Josh Emdur, DO — CMO &amp; Clinical Authority</w:t>
      </w:r>
    </w:p>
    <w:p>
      <w:pPr>
        <w:spacing w:after="120"/>
        <w:ind w:left="720"/>
        <w:jc w:val="left"/>
      </w:pPr>
      <w:r>
        <w:rPr>
          <w:sz w:val="22"/>
          <w:szCs w:val="22"/>
        </w:rPr>
        <w:t xml:space="preserve">(a) Sign all Letters of Medical Necessity (LMN) for HSA/FSA eligibility across all 50 states</w:t>
      </w:r>
    </w:p>
    <w:p>
      <w:pPr>
        <w:spacing w:after="120"/>
        <w:ind w:left="720"/>
        <w:jc w:val="left"/>
      </w:pPr>
      <w:r>
        <w:rPr>
          <w:sz w:val="22"/>
          <w:szCs w:val="22"/>
        </w:rPr>
        <w:t xml:space="preserve">(b) Clinical oversight of the Autonomous LMN Generation System, including review and approval of AI-generated LMNs within agreed SLA (target: 24-hour turnaround)</w:t>
      </w:r>
    </w:p>
    <w:p>
      <w:pPr>
        <w:spacing w:after="120"/>
        <w:ind w:left="720"/>
        <w:jc w:val="left"/>
      </w:pPr>
      <w:r>
        <w:rPr>
          <w:sz w:val="22"/>
          <w:szCs w:val="22"/>
        </w:rPr>
        <w:t xml:space="preserve">(c) Final sign-off on all clinical decisions, assessment thresholds (CII/CRI), and care escalation protocols</w:t>
      </w:r>
    </w:p>
    <w:p>
      <w:pPr>
        <w:spacing w:after="120"/>
        <w:ind w:left="720"/>
        <w:jc w:val="left"/>
      </w:pPr>
      <w:r>
        <w:rPr>
          <w:sz w:val="22"/>
          <w:szCs w:val="22"/>
        </w:rPr>
        <w:t xml:space="preserve">(d) Incident-to billing supervision under Emdur’s NPI for PIN/CHI code reimbursement</w:t>
      </w:r>
    </w:p>
    <w:p>
      <w:pPr>
        <w:spacing w:after="120"/>
        <w:ind w:left="720"/>
        <w:jc w:val="left"/>
      </w:pPr>
      <w:r>
        <w:rPr>
          <w:sz w:val="22"/>
          <w:szCs w:val="22"/>
        </w:rPr>
        <w:t xml:space="preserve">(e) Medical Director role for Colorado Class B and future Class A licensure applications</w:t>
      </w:r>
    </w:p>
    <w:p>
      <w:pPr>
        <w:spacing w:after="120"/>
        <w:ind w:left="720"/>
        <w:jc w:val="left"/>
      </w:pPr>
      <w:r>
        <w:rPr>
          <w:sz w:val="22"/>
          <w:szCs w:val="22"/>
        </w:rPr>
        <w:t xml:space="preserve">(f) Clinical review of CareOS AmbientScribe outputs and Omaha System mappings</w:t>
      </w:r>
    </w:p>
    <w:p>
      <w:pPr>
        <w:spacing w:after="120"/>
        <w:ind w:left="720"/>
        <w:jc w:val="left"/>
      </w:pPr>
      <w:r>
        <w:rPr>
          <w:sz w:val="22"/>
          <w:szCs w:val="22"/>
        </w:rPr>
        <w:t xml:space="preserve">(g) Estimated time commitment: 2–5 hours per week initially, scaling with patient volume</w:t>
      </w:r>
    </w:p>
    <w:p>
      <w:pPr>
        <w:spacing w:after="80" w:before="200"/>
      </w:pPr>
      <w:r>
        <w:rPr>
          <w:b/>
          <w:bCs/>
          <w:sz w:val="22"/>
          <w:szCs w:val="22"/>
        </w:rPr>
        <w:t xml:space="preserve">2. </w:t>
      </w:r>
      <w:r>
        <w:rPr>
          <w:b/>
          <w:bCs/>
          <w:sz w:val="22"/>
          <w:szCs w:val="22"/>
        </w:rPr>
        <w:t xml:space="preserve">EQUITY ALLOCATION</w:t>
      </w:r>
    </w:p>
    <w:p>
      <w:pPr>
        <w:spacing w:after="120"/>
        <w:ind w:left="360"/>
        <w:jc w:val="left"/>
      </w:pPr>
      <w:r>
        <w:rPr>
          <w:sz w:val="22"/>
          <w:szCs w:val="22"/>
        </w:rPr>
        <w:t xml:space="preserve">Membership interests in the Company shall be allocated as follows: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tblGrid>
      <w:tr>
        <w:tc>
          <w:tcPr>
            <w:tcW w:type="dxa" w:w="3600"/>
            <w:tcBorders>
              <w:top w:val="single" w:color="999999" w:sz="1"/>
              <w:left w:val="single" w:color="999999" w:sz="1"/>
              <w:bottom w:val="single" w:color="999999" w:sz="1"/>
              <w:right w:val="single" w:color="999999" w:sz="1"/>
            </w:tcBorders>
            <w:shd w:fill="1B4F72" w:val="clear"/>
            <w:tcMar>
              <w:top w:type="dxa" w:w="60"/>
              <w:left w:type="dxa" w:w="120"/>
              <w:bottom w:type="dxa" w:w="60"/>
              <w:right w:type="dxa" w:w="120"/>
            </w:tcMar>
          </w:tcPr>
          <w:p>
            <w:r>
              <w:rPr>
                <w:b/>
                <w:bCs/>
                <w:color w:val="FFFFFF"/>
                <w:sz w:val="20"/>
                <w:szCs w:val="20"/>
              </w:rPr>
              <w:t xml:space="preserve">Co-Founder</w:t>
            </w:r>
          </w:p>
        </w:tc>
        <w:tc>
          <w:tcPr>
            <w:tcW w:type="dxa" w:w="1800"/>
            <w:tcBorders>
              <w:top w:val="single" w:color="999999" w:sz="1"/>
              <w:left w:val="single" w:color="999999" w:sz="1"/>
              <w:bottom w:val="single" w:color="999999" w:sz="1"/>
              <w:right w:val="single" w:color="999999" w:sz="1"/>
            </w:tcBorders>
            <w:shd w:fill="1B4F72" w:val="clear"/>
            <w:tcMar>
              <w:top w:type="dxa" w:w="60"/>
              <w:left w:type="dxa" w:w="120"/>
              <w:bottom w:type="dxa" w:w="60"/>
              <w:right w:type="dxa" w:w="120"/>
            </w:tcMar>
          </w:tcPr>
          <w:p>
            <w:pPr>
              <w:jc w:val="center"/>
            </w:pPr>
            <w:r>
              <w:rPr>
                <w:b/>
                <w:bCs/>
                <w:color w:val="FFFFFF"/>
                <w:sz w:val="20"/>
                <w:szCs w:val="20"/>
              </w:rPr>
              <w:t xml:space="preserve">Equity %</w:t>
            </w:r>
          </w:p>
        </w:tc>
        <w:tc>
          <w:tcPr>
            <w:tcW w:type="dxa" w:w="1800"/>
            <w:tcBorders>
              <w:top w:val="single" w:color="999999" w:sz="1"/>
              <w:left w:val="single" w:color="999999" w:sz="1"/>
              <w:bottom w:val="single" w:color="999999" w:sz="1"/>
              <w:right w:val="single" w:color="999999" w:sz="1"/>
            </w:tcBorders>
            <w:shd w:fill="1B4F72" w:val="clear"/>
            <w:tcMar>
              <w:top w:type="dxa" w:w="60"/>
              <w:left w:type="dxa" w:w="120"/>
              <w:bottom w:type="dxa" w:w="60"/>
              <w:right w:type="dxa" w:w="120"/>
            </w:tcMar>
          </w:tcPr>
          <w:p>
            <w:pPr>
              <w:jc w:val="center"/>
            </w:pPr>
            <w:r>
              <w:rPr>
                <w:b/>
                <w:bCs/>
                <w:color w:val="FFFFFF"/>
                <w:sz w:val="20"/>
                <w:szCs w:val="20"/>
              </w:rPr>
              <w:t xml:space="preserve">Vesting</w:t>
            </w:r>
          </w:p>
        </w:tc>
      </w:tr>
      <w:tr>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sz w:val="20"/>
                <w:szCs w:val="20"/>
              </w:rPr>
              <w:t xml:space="preserve">Blaine Warkentine (CEO)</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sz w:val="20"/>
                <w:szCs w:val="20"/>
              </w:rPr>
              <w:t xml:space="preserve">[___]%</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sz w:val="20"/>
                <w:szCs w:val="20"/>
              </w:rPr>
              <w:t xml:space="preserve">4-yr / 1-yr cliff</w:t>
            </w:r>
          </w:p>
        </w:tc>
      </w:tr>
      <w:tr>
        <w:tc>
          <w:tcPr>
            <w:tcW w:type="dxa" w:w="36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sz w:val="20"/>
                <w:szCs w:val="20"/>
              </w:rPr>
              <w:t xml:space="preserve">Josh Emdur, DO (CMO)</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sz w:val="20"/>
                <w:szCs w:val="20"/>
              </w:rPr>
              <w:t xml:space="preserve">[___]%</w:t>
            </w:r>
          </w:p>
        </w:tc>
        <w:tc>
          <w:tcPr>
            <w:tcW w:type="dxa" w:w="18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sz w:val="20"/>
                <w:szCs w:val="20"/>
              </w:rPr>
              <w:t xml:space="preserve">4-yr / 1-yr cliff</w:t>
            </w:r>
          </w:p>
        </w:tc>
      </w:tr>
      <w:tr>
        <w:tc>
          <w:tcPr>
            <w:tcW w:type="dxa" w:w="3600"/>
            <w:tcBorders>
              <w:top w:val="single" w:color="999999" w:sz="1"/>
              <w:left w:val="single" w:color="999999" w:sz="1"/>
              <w:bottom w:val="single" w:color="999999" w:sz="1"/>
              <w:right w:val="single" w:color="999999" w:sz="1"/>
            </w:tcBorders>
            <w:shd w:fill="F0F0F0" w:val="clear"/>
            <w:tcMar>
              <w:top w:type="dxa" w:w="60"/>
              <w:left w:type="dxa" w:w="120"/>
              <w:bottom w:type="dxa" w:w="60"/>
              <w:right w:type="dxa" w:w="120"/>
            </w:tcMar>
          </w:tcPr>
          <w:p>
            <w:r>
              <w:rPr>
                <w:i/>
                <w:iCs/>
                <w:sz w:val="20"/>
                <w:szCs w:val="20"/>
              </w:rPr>
              <w:t xml:space="preserve">Worker-Owner Pool (reserved)</w:t>
            </w:r>
          </w:p>
        </w:tc>
        <w:tc>
          <w:tcPr>
            <w:tcW w:type="dxa" w:w="1800"/>
            <w:tcBorders>
              <w:top w:val="single" w:color="999999" w:sz="1"/>
              <w:left w:val="single" w:color="999999" w:sz="1"/>
              <w:bottom w:val="single" w:color="999999" w:sz="1"/>
              <w:right w:val="single" w:color="999999" w:sz="1"/>
            </w:tcBorders>
            <w:shd w:fill="F0F0F0" w:val="clear"/>
            <w:tcMar>
              <w:top w:type="dxa" w:w="60"/>
              <w:left w:type="dxa" w:w="120"/>
              <w:bottom w:type="dxa" w:w="60"/>
              <w:right w:type="dxa" w:w="120"/>
            </w:tcMar>
          </w:tcPr>
          <w:p>
            <w:pPr>
              <w:jc w:val="center"/>
            </w:pPr>
            <w:r>
              <w:rPr>
                <w:i/>
                <w:iCs/>
                <w:sz w:val="20"/>
                <w:szCs w:val="20"/>
              </w:rPr>
              <w:t xml:space="preserve">[___]%</w:t>
            </w:r>
          </w:p>
        </w:tc>
        <w:tc>
          <w:tcPr>
            <w:tcW w:type="dxa" w:w="1800"/>
            <w:tcBorders>
              <w:top w:val="single" w:color="999999" w:sz="1"/>
              <w:left w:val="single" w:color="999999" w:sz="1"/>
              <w:bottom w:val="single" w:color="999999" w:sz="1"/>
              <w:right w:val="single" w:color="999999" w:sz="1"/>
            </w:tcBorders>
            <w:shd w:fill="F0F0F0" w:val="clear"/>
            <w:tcMar>
              <w:top w:type="dxa" w:w="60"/>
              <w:left w:type="dxa" w:w="120"/>
              <w:bottom w:type="dxa" w:w="60"/>
              <w:right w:type="dxa" w:w="120"/>
            </w:tcMar>
          </w:tcPr>
          <w:p>
            <w:pPr>
              <w:jc w:val="center"/>
            </w:pPr>
            <w:r>
              <w:rPr>
                <w:i/>
                <w:iCs/>
                <w:sz w:val="20"/>
                <w:szCs w:val="20"/>
              </w:rPr>
              <w:t xml:space="preserve">Per coop bylaws</w:t>
            </w:r>
          </w:p>
        </w:tc>
      </w:tr>
    </w:tbl>
    <w:p>
      <w:pPr>
        <w:spacing w:after="120"/>
        <w:jc w:val="left"/>
      </w:pPr>
      <w:r>
        <w:rPr>
          <w:sz w:val="22"/>
          <w:szCs w:val="22"/>
        </w:rPr>
        <w:t xml:space="preserve"/>
      </w:r>
    </w:p>
    <w:p>
      <w:pPr>
        <w:spacing w:after="120"/>
        <w:jc w:val="left"/>
      </w:pPr>
      <w:r>
        <w:rPr>
          <w:sz w:val="22"/>
          <w:szCs w:val="22"/>
        </w:rPr>
        <w:t xml:space="preserve">2.1 Vesting Schedule. All equity shall vest over four (4) years with a one (1) year cliff. Upon the cliff date, 25% of allocated equity shall vest immediately, with the remainder vesting monthly over 36 months.</w:t>
      </w:r>
    </w:p>
    <w:p>
      <w:pPr>
        <w:spacing w:after="120"/>
        <w:jc w:val="left"/>
      </w:pPr>
      <w:r>
        <w:rPr>
          <w:sz w:val="22"/>
          <w:szCs w:val="22"/>
        </w:rPr>
        <w:t xml:space="preserve">2.2 Acceleration. In the event of a Change of Control (as defined in the Operating Agreement), 100% of unvested equity shall immediately vest for both Co-Founders (double-trigger acceleration).</w:t>
      </w:r>
    </w:p>
    <w:p>
      <w:pPr>
        <w:spacing w:after="120"/>
        <w:jc w:val="left"/>
      </w:pPr>
      <w:r>
        <w:rPr>
          <w:sz w:val="22"/>
          <w:szCs w:val="22"/>
        </w:rPr>
        <w:t xml:space="preserve">2.3 Worker-Owner Pool. The Co-Founders agree to reserve a meaningful equity pool for future worker-owners as the cooperative matures, consistent with the Company’s cooperative conversion plan.</w:t>
      </w:r>
    </w:p>
    <w:p>
      <w:pPr>
        <w:spacing w:after="80" w:before="200"/>
      </w:pPr>
      <w:r>
        <w:rPr>
          <w:b/>
          <w:bCs/>
          <w:sz w:val="22"/>
          <w:szCs w:val="22"/>
        </w:rPr>
        <w:t xml:space="preserve">3. </w:t>
      </w:r>
      <w:r>
        <w:rPr>
          <w:b/>
          <w:bCs/>
          <w:sz w:val="22"/>
          <w:szCs w:val="22"/>
        </w:rPr>
        <w:t xml:space="preserve">50-STATE MEDICAL LICENSE — THE CLINICAL PLATFORM</w:t>
      </w:r>
    </w:p>
    <w:p>
      <w:pPr>
        <w:spacing w:after="120"/>
        <w:ind w:left="360"/>
        <w:jc w:val="left"/>
      </w:pPr>
      <w:r>
        <w:rPr>
          <w:sz w:val="22"/>
          <w:szCs w:val="22"/>
        </w:rPr>
        <w:t xml:space="preserve">The parties acknowledge that Emdur’s 50-state medical licensure is a foundational strategic asset of the Company:</w:t>
      </w:r>
    </w:p>
    <w:p>
      <w:pPr>
        <w:spacing w:after="120"/>
        <w:ind w:left="720"/>
        <w:jc w:val="left"/>
      </w:pPr>
      <w:r>
        <w:rPr>
          <w:sz w:val="22"/>
          <w:szCs w:val="22"/>
        </w:rPr>
        <w:t xml:space="preserve">(a) Emdur shall maintain active medical licenses in all 50 states and D.C. throughout the term of this Agreement. The Company shall reimburse all license renewal fees, CME costs, and malpractice insurance premiums associated with this obligation.</w:t>
      </w:r>
    </w:p>
    <w:p>
      <w:pPr>
        <w:spacing w:after="120"/>
        <w:ind w:left="720"/>
        <w:jc w:val="left"/>
      </w:pPr>
      <w:r>
        <w:rPr>
          <w:sz w:val="22"/>
          <w:szCs w:val="22"/>
        </w:rPr>
        <w:t xml:space="preserve">(b) All LMN generation, incident-to billing, and clinical oversight activities performed under this Agreement shall be conducted under Emdur’s NPI number(s).</w:t>
      </w:r>
    </w:p>
    <w:p>
      <w:pPr>
        <w:spacing w:after="120"/>
        <w:ind w:left="720"/>
        <w:jc w:val="left"/>
      </w:pPr>
      <w:r>
        <w:rPr>
          <w:sz w:val="22"/>
          <w:szCs w:val="22"/>
        </w:rPr>
        <w:t xml:space="preserve">(c) Emdur retains full clinical autonomy. The Company shall not direct, override, or incentivize specific clinical determinations. Emdur may decline to sign any LMN that does not meet clinical standards.</w:t>
      </w:r>
    </w:p>
    <w:p>
      <w:pPr>
        <w:spacing w:after="120"/>
        <w:ind w:left="720"/>
        <w:jc w:val="left"/>
      </w:pPr>
      <w:r>
        <w:rPr>
          <w:sz w:val="22"/>
          <w:szCs w:val="22"/>
        </w:rPr>
        <w:t xml:space="preserve">(d) In the event Emdur loses licensure in any state, the parties shall negotiate in good faith to secure replacement coverage. Loss of licensure in 10 or more states constitutes a material breach subject to Section 8.</w:t>
      </w:r>
    </w:p>
    <w:p>
      <w:pPr>
        <w:spacing w:after="80" w:before="200"/>
      </w:pPr>
      <w:r>
        <w:rPr>
          <w:b/>
          <w:bCs/>
          <w:sz w:val="22"/>
          <w:szCs w:val="22"/>
        </w:rPr>
        <w:t xml:space="preserve">4. </w:t>
      </w:r>
      <w:r>
        <w:rPr>
          <w:b/>
          <w:bCs/>
          <w:sz w:val="22"/>
          <w:szCs w:val="22"/>
        </w:rPr>
        <w:t xml:space="preserve">AUTONOMOUS LMN GENERATION SYSTEM</w:t>
      </w:r>
    </w:p>
    <w:p>
      <w:pPr>
        <w:spacing w:after="120"/>
        <w:ind w:left="360"/>
        <w:jc w:val="left"/>
      </w:pPr>
      <w:r>
        <w:rPr>
          <w:sz w:val="22"/>
          <w:szCs w:val="22"/>
        </w:rPr>
        <w:t xml:space="preserve">The Co-Founders shall jointly develop an Autonomous LMN Generation System ("ALGS") with the following architecture:</w:t>
      </w:r>
    </w:p>
    <w:p>
      <w:pPr>
        <w:spacing w:after="120"/>
        <w:ind w:left="720"/>
        <w:jc w:val="left"/>
      </w:pPr>
      <w:r>
        <w:rPr>
          <w:sz w:val="22"/>
          <w:szCs w:val="22"/>
        </w:rPr>
        <w:t xml:space="preserve">(a) AI-Assisted Generation. The CareOS platform (Sage conversational AI + CII/CRI assessments + AmbientScribe) shall automatically generate draft LMNs based on structured clinical data, Omaha System classifications, and assessment scores.</w:t>
      </w:r>
    </w:p>
    <w:p>
      <w:pPr>
        <w:spacing w:after="120"/>
        <w:ind w:left="720"/>
        <w:jc w:val="left"/>
      </w:pPr>
      <w:r>
        <w:rPr>
          <w:sz w:val="22"/>
          <w:szCs w:val="22"/>
        </w:rPr>
        <w:t xml:space="preserve">(b) Physician Review Queue. All AI-generated LMNs shall be presented to Emdur (or designated physician delegates) in a structured review queue with clinical summaries, risk flags, and recommended determinations.</w:t>
      </w:r>
    </w:p>
    <w:p>
      <w:pPr>
        <w:spacing w:after="120"/>
        <w:ind w:left="720"/>
        <w:jc w:val="left"/>
      </w:pPr>
      <w:r>
        <w:rPr>
          <w:sz w:val="22"/>
          <w:szCs w:val="22"/>
        </w:rPr>
        <w:t xml:space="preserve">(c) Sign-off SLA. Emdur agrees to review and act on queued LMNs within 24 hours of submission. Target throughput: 10–20 LMNs per hour of review time.</w:t>
      </w:r>
    </w:p>
    <w:p>
      <w:pPr>
        <w:spacing w:after="120"/>
        <w:ind w:left="720"/>
        <w:jc w:val="left"/>
      </w:pPr>
      <w:r>
        <w:rPr>
          <w:sz w:val="22"/>
          <w:szCs w:val="22"/>
        </w:rPr>
        <w:t xml:space="preserve">(d) Delegation Authority. As volume scales, Emdur may delegate LMN review to credentialed physician delegates operating under Emdur’s supervision, subject to state-specific supervision requirements.</w:t>
      </w:r>
    </w:p>
    <w:p>
      <w:pPr>
        <w:spacing w:after="120"/>
        <w:ind w:left="720"/>
        <w:jc w:val="left"/>
      </w:pPr>
      <w:r>
        <w:rPr>
          <w:sz w:val="22"/>
          <w:szCs w:val="22"/>
        </w:rPr>
        <w:t xml:space="preserve">(e) Quality Assurance. The ALGS shall maintain an audit trail of all generated, reviewed, modified, and signed LMNs. Quarterly quality reviews shall assess accuracy, denial rates, and compliance.</w:t>
      </w:r>
    </w:p>
    <w:p>
      <w:pPr>
        <w:spacing w:after="120"/>
        <w:ind w:left="720"/>
        <w:jc w:val="left"/>
      </w:pPr>
      <w:r>
        <w:rPr>
          <w:sz w:val="22"/>
          <w:szCs w:val="22"/>
        </w:rPr>
        <w:t xml:space="preserve">(f) Revenue Share. LMN revenue ($150–$300 per LMN) shall be allocated as defined in the Operating Agreement. A portion shall compensate Emdur’s review time at a rate of $[___] per LMN reviewed.</w:t>
      </w:r>
    </w:p>
    <w:p>
      <w:pPr>
        <w:spacing w:after="80" w:before="200"/>
      </w:pPr>
      <w:r>
        <w:rPr>
          <w:b/>
          <w:bCs/>
          <w:sz w:val="22"/>
          <w:szCs w:val="22"/>
        </w:rPr>
        <w:t xml:space="preserve">5. </w:t>
      </w:r>
      <w:r>
        <w:rPr>
          <w:b/>
          <w:bCs/>
          <w:sz w:val="22"/>
          <w:szCs w:val="22"/>
        </w:rPr>
        <w:t xml:space="preserve">INTELLECTUAL PROPERTY</w:t>
      </w:r>
    </w:p>
    <w:p>
      <w:pPr>
        <w:spacing w:after="120"/>
        <w:ind w:left="360"/>
        <w:jc w:val="left"/>
      </w:pPr>
      <w:r>
        <w:rPr>
          <w:sz w:val="22"/>
          <w:szCs w:val="22"/>
        </w:rPr>
        <w:t xml:space="preserve"/>
      </w:r>
    </w:p>
    <w:p>
      <w:pPr>
        <w:spacing w:after="120"/>
        <w:jc w:val="left"/>
      </w:pPr>
      <w:r>
        <w:rPr>
          <w:sz w:val="22"/>
          <w:szCs w:val="22"/>
        </w:rPr>
        <w:t xml:space="preserve">5.1 Company IP. All intellectual property created by either Co-Founder in connection with Company business shall be owned by the Company, including but not limited to: CareOS platform, Sage AI engine, CII/CRI assessment instruments, Omaha-to-FHIR mapping methodology, AmbientScribe clinical sync system, and the ALGS.</w:t>
      </w:r>
    </w:p>
    <w:p>
      <w:pPr>
        <w:spacing w:after="120"/>
        <w:jc w:val="left"/>
      </w:pPr>
      <w:r>
        <w:rPr>
          <w:sz w:val="22"/>
          <w:szCs w:val="22"/>
        </w:rPr>
        <w:t xml:space="preserve">5.2 Pre-Existing IP. Each Co-Founder retains ownership of intellectual property created prior to this Agreement. Emdur retains all rights to his work with his AI physician oversight company. Warkentine retains all rights to non-co-op.care ventures (Sh-Room, archived projects).</w:t>
      </w:r>
    </w:p>
    <w:p>
      <w:pPr>
        <w:spacing w:after="120"/>
        <w:jc w:val="left"/>
      </w:pPr>
      <w:r>
        <w:rPr>
          <w:sz w:val="22"/>
          <w:szCs w:val="22"/>
        </w:rPr>
        <w:t xml:space="preserve">5.3 Clinical Methodology. Clinical protocols, assessment thresholds, and care escalation logic developed by Emdur for the Company shall be Company IP, but Emdur retains the right to use general medical knowledge and clinical judgment in other contexts.</w:t>
      </w:r>
    </w:p>
    <w:p>
      <w:pPr>
        <w:spacing w:after="80" w:before="200"/>
      </w:pPr>
      <w:r>
        <w:rPr>
          <w:b/>
          <w:bCs/>
          <w:sz w:val="22"/>
          <w:szCs w:val="22"/>
        </w:rPr>
        <w:t xml:space="preserve">6. </w:t>
      </w:r>
      <w:r>
        <w:rPr>
          <w:b/>
          <w:bCs/>
          <w:sz w:val="22"/>
          <w:szCs w:val="22"/>
        </w:rPr>
        <w:t xml:space="preserve">COMPENSATION</w:t>
      </w:r>
    </w:p>
    <w:p>
      <w:pPr>
        <w:spacing w:after="120"/>
        <w:ind w:left="360"/>
        <w:jc w:val="left"/>
      </w:pPr>
      <w:r>
        <w:rPr>
          <w:sz w:val="22"/>
          <w:szCs w:val="22"/>
        </w:rPr>
        <w:t xml:space="preserve"/>
      </w:r>
    </w:p>
    <w:p>
      <w:pPr>
        <w:spacing w:after="120"/>
        <w:jc w:val="left"/>
      </w:pPr>
      <w:r>
        <w:rPr>
          <w:sz w:val="22"/>
          <w:szCs w:val="22"/>
        </w:rPr>
        <w:t xml:space="preserve">6.1 Pre-Revenue Phase. Neither Co-Founder shall receive cash compensation until the Company achieves $[___] in monthly recurring revenue. Both Co-Founders are building equity value during this phase.</w:t>
      </w:r>
    </w:p>
    <w:p>
      <w:pPr>
        <w:spacing w:after="120"/>
        <w:jc w:val="left"/>
      </w:pPr>
      <w:r>
        <w:rPr>
          <w:sz w:val="22"/>
          <w:szCs w:val="22"/>
        </w:rPr>
        <w:t xml:space="preserve">6.2 Post-Revenue Compensation. Upon achieving revenue targets, compensation shall be set by mutual agreement, benchmarked to comparable roles in healthcare startups, and documented in the Operating Agreement.</w:t>
      </w:r>
    </w:p>
    <w:p>
      <w:pPr>
        <w:spacing w:after="120"/>
        <w:jc w:val="left"/>
      </w:pPr>
      <w:r>
        <w:rPr>
          <w:sz w:val="22"/>
          <w:szCs w:val="22"/>
        </w:rPr>
        <w:t xml:space="preserve">6.3 License Costs. The Company shall reimburse Emdur for all 50-state license maintenance costs from inception, accruing as a Company obligation if cash is not available. Estimated annual cost: $15,000–$25,000 for license renewals + $5,000–10,000 for CME + malpractice premiums at market rate.</w:t>
      </w:r>
    </w:p>
    <w:p>
      <w:pPr>
        <w:spacing w:after="120"/>
        <w:jc w:val="left"/>
      </w:pPr>
      <w:r>
        <w:rPr>
          <w:sz w:val="22"/>
          <w:szCs w:val="22"/>
        </w:rPr>
        <w:t xml:space="preserve">6.4 LMN Review Compensation. Once the ALGS is operational, Emdur shall receive $[___] per LMN reviewed and signed, payable monthly.</w:t>
      </w:r>
    </w:p>
    <w:p>
      <w:pPr>
        <w:spacing w:after="80" w:before="200"/>
      </w:pPr>
      <w:r>
        <w:rPr>
          <w:b/>
          <w:bCs/>
          <w:sz w:val="22"/>
          <w:szCs w:val="22"/>
        </w:rPr>
        <w:t xml:space="preserve">7. </w:t>
      </w:r>
      <w:r>
        <w:rPr>
          <w:b/>
          <w:bCs/>
          <w:sz w:val="22"/>
          <w:szCs w:val="22"/>
        </w:rPr>
        <w:t xml:space="preserve">EXCLUSIVITY AND OUTSIDE ACTIVITIES</w:t>
      </w:r>
    </w:p>
    <w:p>
      <w:pPr>
        <w:spacing w:after="120"/>
        <w:ind w:left="360"/>
        <w:jc w:val="left"/>
      </w:pPr>
      <w:r>
        <w:rPr>
          <w:sz w:val="22"/>
          <w:szCs w:val="22"/>
        </w:rPr>
        <w:t xml:space="preserve"/>
      </w:r>
    </w:p>
    <w:p>
      <w:pPr>
        <w:spacing w:after="120"/>
        <w:jc w:val="left"/>
      </w:pPr>
      <w:r>
        <w:rPr>
          <w:sz w:val="22"/>
          <w:szCs w:val="22"/>
        </w:rPr>
        <w:t xml:space="preserve">7.1 Non-Compete. During the term of this Agreement and for twelve (12) months following termination, neither Co-Founder shall directly compete with the Company in the worker-owned home care cooperative space.</w:t>
      </w:r>
    </w:p>
    <w:p>
      <w:pPr>
        <w:spacing w:after="120"/>
        <w:jc w:val="left"/>
      </w:pPr>
      <w:r>
        <w:rPr>
          <w:sz w:val="22"/>
          <w:szCs w:val="22"/>
        </w:rPr>
        <w:t xml:space="preserve">7.2 Permitted Activities. Emdur may continue his hospitalist practice, his CMO role at the AI physician oversight company, and any other medical practice activities. Warkentine may continue Sh-Room and other non-competing ventures. Both Co-Founders shall disclose material conflicts of interest.</w:t>
      </w:r>
    </w:p>
    <w:p>
      <w:pPr>
        <w:spacing w:after="120"/>
        <w:jc w:val="left"/>
      </w:pPr>
      <w:r>
        <w:rPr>
          <w:sz w:val="22"/>
          <w:szCs w:val="22"/>
        </w:rPr>
        <w:t xml:space="preserve">7.3 Time Commitment. Given both Co-Founders have other professional commitments, the minimum time commitment shall be: Warkentine — 20 hours/week; Emdur — 2–5 hours/week initially, scaling with Company needs.</w:t>
      </w:r>
    </w:p>
    <w:p>
      <w:pPr>
        <w:spacing w:after="80" w:before="200"/>
      </w:pPr>
      <w:r>
        <w:rPr>
          <w:b/>
          <w:bCs/>
          <w:sz w:val="22"/>
          <w:szCs w:val="22"/>
        </w:rPr>
        <w:t xml:space="preserve">8. </w:t>
      </w:r>
      <w:r>
        <w:rPr>
          <w:b/>
          <w:bCs/>
          <w:sz w:val="22"/>
          <w:szCs w:val="22"/>
        </w:rPr>
        <w:t xml:space="preserve">TERM AND TERMINATION</w:t>
      </w:r>
    </w:p>
    <w:p>
      <w:pPr>
        <w:spacing w:after="120"/>
        <w:ind w:left="360"/>
        <w:jc w:val="left"/>
      </w:pPr>
      <w:r>
        <w:rPr>
          <w:sz w:val="22"/>
          <w:szCs w:val="22"/>
        </w:rPr>
        <w:t xml:space="preserve"/>
      </w:r>
    </w:p>
    <w:p>
      <w:pPr>
        <w:spacing w:after="120"/>
        <w:jc w:val="left"/>
      </w:pPr>
      <w:r>
        <w:rPr>
          <w:sz w:val="22"/>
          <w:szCs w:val="22"/>
        </w:rPr>
        <w:t xml:space="preserve">8.1 Term. This Agreement shall remain in effect until terminated by mutual agreement, or upon dissolution of the Company.</w:t>
      </w:r>
    </w:p>
    <w:p>
      <w:pPr>
        <w:spacing w:after="120"/>
        <w:jc w:val="left"/>
      </w:pPr>
      <w:r>
        <w:rPr>
          <w:sz w:val="22"/>
          <w:szCs w:val="22"/>
        </w:rPr>
        <w:t xml:space="preserve">8.2 Voluntary Departure. Either Co-Founder may resign with 90 days written notice. Unvested equity is forfeited. Vested equity is retained subject to the Operating Agreement.</w:t>
      </w:r>
    </w:p>
    <w:p>
      <w:pPr>
        <w:spacing w:after="120"/>
        <w:jc w:val="left"/>
      </w:pPr>
      <w:r>
        <w:rPr>
          <w:sz w:val="22"/>
          <w:szCs w:val="22"/>
        </w:rPr>
        <w:t xml:space="preserve">8.3 For Cause Termination. A Co-Founder may be removed for material breach (including loss of 10+ state medical licenses for Emdur, or fiduciary violations for either party) with 30 days written notice and opportunity to cure.</w:t>
      </w:r>
    </w:p>
    <w:p>
      <w:pPr>
        <w:spacing w:after="120"/>
        <w:jc w:val="left"/>
      </w:pPr>
      <w:r>
        <w:rPr>
          <w:sz w:val="22"/>
          <w:szCs w:val="22"/>
        </w:rPr>
        <w:t xml:space="preserve">8.4 Clinical Transition. Upon Emdur’s departure for any reason, Emdur shall cooperate for up to 90 days to transition clinical oversight to a replacement physician, including transferring LMN review protocols and ALGS training materials.</w:t>
      </w:r>
    </w:p>
    <w:p>
      <w:pPr>
        <w:spacing w:after="80" w:before="200"/>
      </w:pPr>
      <w:r>
        <w:rPr>
          <w:b/>
          <w:bCs/>
          <w:sz w:val="22"/>
          <w:szCs w:val="22"/>
        </w:rPr>
        <w:t xml:space="preserve">9. </w:t>
      </w:r>
      <w:r>
        <w:rPr>
          <w:b/>
          <w:bCs/>
          <w:sz w:val="22"/>
          <w:szCs w:val="22"/>
        </w:rPr>
        <w:t xml:space="preserve">DECISION-MAKING AND GOVERNANCE</w:t>
      </w:r>
    </w:p>
    <w:p>
      <w:pPr>
        <w:spacing w:after="120"/>
        <w:ind w:left="360"/>
        <w:jc w:val="left"/>
      </w:pPr>
      <w:r>
        <w:rPr>
          <w:sz w:val="22"/>
          <w:szCs w:val="22"/>
        </w:rPr>
        <w:t xml:space="preserve"/>
      </w:r>
    </w:p>
    <w:p>
      <w:pPr>
        <w:spacing w:after="120"/>
        <w:jc w:val="left"/>
      </w:pPr>
      <w:r>
        <w:rPr>
          <w:sz w:val="22"/>
          <w:szCs w:val="22"/>
        </w:rPr>
        <w:t xml:space="preserve">9.1 Major Decisions. The following require unanimous Co-Founder approval: equity raises above $500K, change of control transactions, new Co-Founder additions, changes to cooperative conversion timeline, and modifications to clinical oversight protocols.</w:t>
      </w:r>
    </w:p>
    <w:p>
      <w:pPr>
        <w:spacing w:after="120"/>
        <w:jc w:val="left"/>
      </w:pPr>
      <w:r>
        <w:rPr>
          <w:sz w:val="22"/>
          <w:szCs w:val="22"/>
        </w:rPr>
        <w:t xml:space="preserve">9.2 Operational Decisions. Day-to-day decisions within each Co-Founder’s domain (business for Warkentine, clinical for Emdur) may be made independently.</w:t>
      </w:r>
    </w:p>
    <w:p>
      <w:pPr>
        <w:spacing w:after="120"/>
        <w:jc w:val="left"/>
      </w:pPr>
      <w:r>
        <w:rPr>
          <w:sz w:val="22"/>
          <w:szCs w:val="22"/>
        </w:rPr>
        <w:t xml:space="preserve">9.3 Deadlock. In the event of disagreement on a major decision, the Co-Founders agree to engage a mutually acceptable mediator before pursuing legal remedies.</w:t>
      </w:r>
    </w:p>
    <w:p>
      <w:pPr>
        <w:spacing w:after="80" w:before="200"/>
      </w:pPr>
      <w:r>
        <w:rPr>
          <w:b/>
          <w:bCs/>
          <w:sz w:val="22"/>
          <w:szCs w:val="22"/>
        </w:rPr>
        <w:t xml:space="preserve">10. </w:t>
      </w:r>
      <w:r>
        <w:rPr>
          <w:b/>
          <w:bCs/>
          <w:sz w:val="22"/>
          <w:szCs w:val="22"/>
        </w:rPr>
        <w:t xml:space="preserve">GENERAL PROVISIONS</w:t>
      </w:r>
    </w:p>
    <w:p>
      <w:pPr>
        <w:spacing w:after="120"/>
        <w:ind w:left="360"/>
        <w:jc w:val="left"/>
      </w:pPr>
      <w:r>
        <w:rPr>
          <w:sz w:val="22"/>
          <w:szCs w:val="22"/>
        </w:rPr>
        <w:t xml:space="preserve"/>
      </w:r>
    </w:p>
    <w:p>
      <w:pPr>
        <w:spacing w:after="120"/>
        <w:jc w:val="left"/>
      </w:pPr>
      <w:r>
        <w:rPr>
          <w:sz w:val="22"/>
          <w:szCs w:val="22"/>
        </w:rPr>
        <w:t xml:space="preserve">10.1 Governing Law. This Agreement shall be governed by the laws of the State of Colorado.</w:t>
      </w:r>
    </w:p>
    <w:p>
      <w:pPr>
        <w:spacing w:after="120"/>
        <w:jc w:val="left"/>
      </w:pPr>
      <w:r>
        <w:rPr>
          <w:sz w:val="22"/>
          <w:szCs w:val="22"/>
        </w:rPr>
        <w:t xml:space="preserve">10.2 Entire Agreement. This Agreement constitutes the entire agreement between the parties and supersedes all prior negotiations and understandings.</w:t>
      </w:r>
    </w:p>
    <w:p>
      <w:pPr>
        <w:spacing w:after="120"/>
        <w:jc w:val="left"/>
      </w:pPr>
      <w:r>
        <w:rPr>
          <w:sz w:val="22"/>
          <w:szCs w:val="22"/>
        </w:rPr>
        <w:t xml:space="preserve">10.3 Amendments. This Agreement may only be amended in writing signed by both Co-Founders.</w:t>
      </w:r>
    </w:p>
    <w:p>
      <w:pPr>
        <w:spacing w:after="120"/>
        <w:jc w:val="left"/>
      </w:pPr>
      <w:r>
        <w:rPr>
          <w:sz w:val="22"/>
          <w:szCs w:val="22"/>
        </w:rPr>
        <w:t xml:space="preserve">10.4 Severability. If any provision is found unenforceable, the remaining provisions shall remain in full force and effect.</w:t>
      </w:r>
    </w:p>
    <w:p>
      <w:pPr>
        <w:spacing w:after="120"/>
        <w:jc w:val="left"/>
      </w:pPr>
      <w:r>
        <w:rPr>
          <w:sz w:val="22"/>
          <w:szCs w:val="22"/>
        </w:rPr>
        <w:t xml:space="preserve">10.5 Confidentiality. Both Co-Founders shall maintain confidentiality of Company trade secrets, patient information (per HIPAA), and proprietary business information.</w:t>
      </w:r>
    </w:p>
    <w:p>
      <w:pPr>
        <w:spacing w:after="120"/>
        <w:jc w:val="left"/>
      </w:pPr>
      <w:r>
        <w:rPr>
          <w:sz w:val="22"/>
          <w:szCs w:val="22"/>
        </w:rPr>
        <w:t xml:space="preserve">10.6 Cooperative Conversion. Both Co-Founders acknowledge the Company’s intention to convert from an LLC to a cooperative entity. This Agreement shall be renegotiated in good faith upon cooperative conversion to align with cooperative governance principles.</w:t>
      </w:r>
    </w:p>
    <w:p>
      <w:pPr>
        <w:spacing w:before="400"/>
      </w:pPr>
    </w:p>
    <w:p>
      <w:pPr>
        <w:pBdr>
          <w:top w:val="single" w:color="CC0000" w:sz="6" w:space="8"/>
          <w:bottom w:val="single" w:color="CC0000" w:sz="6" w:space="8"/>
        </w:pBdr>
        <w:spacing w:after="120"/>
      </w:pPr>
      <w:r>
        <w:rPr>
          <w:i/>
          <w:iCs/>
          <w:color w:val="CC0000"/>
          <w:sz w:val="20"/>
          <w:szCs w:val="20"/>
        </w:rPr>
        <w:t xml:space="preserve">IMPORTANT: This document is a framework for discussion between co-founders. It is NOT a substitute for legal counsel. Both parties should have this Agreement reviewed by independent attorneys before execution. Equity percentages and compensation figures marked [___] must be negotiated and filled in before signing.</w:t>
      </w:r>
    </w:p>
    <w:p>
      <w:pPr>
        <w:spacing w:before="600"/>
      </w:pPr>
      <w:r>
        <w:rPr>
          <w:sz w:val="22"/>
          <w:szCs w:val="22"/>
        </w:rPr>
        <w:t xml:space="preserve">IN WITNESS WHEREOF, the parties have executed this Agreement as of the date first written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80"/>
              <w:left w:type="dxa" w:w="0"/>
              <w:bottom w:type="dxa" w:w="80"/>
              <w:right w:type="dxa" w:w="240"/>
            </w:tcMar>
          </w:tcPr>
          <w:p>
            <w:pPr>
              <w:spacing w:before="600"/>
            </w:pPr>
          </w:p>
          <w:p>
            <w:r>
              <w:rPr>
                <w:sz w:val="22"/>
                <w:szCs w:val="22"/>
              </w:rPr>
              <w:t xml:space="preserve">________________________________________</w:t>
            </w:r>
          </w:p>
          <w:p>
            <w:r>
              <w:rPr>
                <w:b/>
                <w:bCs/>
                <w:sz w:val="22"/>
                <w:szCs w:val="22"/>
              </w:rPr>
              <w:t xml:space="preserve">Blaine Warkentine, MD, MBA</w:t>
            </w:r>
          </w:p>
          <w:p>
            <w:r>
              <w:rPr>
                <w:sz w:val="20"/>
                <w:szCs w:val="20"/>
              </w:rPr>
              <w:t xml:space="preserve">Founder &amp; CEO</w:t>
            </w:r>
          </w:p>
          <w:p>
            <w:r>
              <w:rPr>
                <w:i/>
                <w:iCs/>
                <w:sz w:val="20"/>
                <w:szCs w:val="20"/>
              </w:rPr>
              <w:t xml:space="preserve">co-op.care Technologies LLC</w:t>
            </w:r>
          </w:p>
          <w:p>
            <w:pPr>
              <w:spacing w:before="200"/>
            </w:pPr>
            <w:r>
              <w:rPr>
                <w:sz w:val="20"/>
                <w:szCs w:val="20"/>
              </w:rPr>
              <w:t xml:space="preserve">Date: ___________________</w:t>
            </w:r>
          </w:p>
        </w:tc>
        <w:tc>
          <w:tcPr>
            <w:tcW w:type="dxa" w:w="4680"/>
            <w:tcBorders>
              <w:top w:val="none" w:sz="0"/>
              <w:left w:val="none" w:sz="0"/>
              <w:bottom w:val="none" w:sz="0"/>
              <w:right w:val="none" w:sz="0"/>
            </w:tcBorders>
            <w:tcMar>
              <w:top w:type="dxa" w:w="80"/>
              <w:left w:type="dxa" w:w="240"/>
              <w:bottom w:type="dxa" w:w="80"/>
              <w:right w:type="dxa" w:w="0"/>
            </w:tcMar>
          </w:tcPr>
          <w:p>
            <w:pPr>
              <w:spacing w:before="600"/>
            </w:pPr>
          </w:p>
          <w:p>
            <w:r>
              <w:rPr>
                <w:sz w:val="22"/>
                <w:szCs w:val="22"/>
              </w:rPr>
              <w:t xml:space="preserve">________________________________________</w:t>
            </w:r>
          </w:p>
          <w:p>
            <w:r>
              <w:rPr>
                <w:b/>
                <w:bCs/>
                <w:sz w:val="22"/>
                <w:szCs w:val="22"/>
              </w:rPr>
              <w:t xml:space="preserve">Josh Emdur, DO</w:t>
            </w:r>
          </w:p>
          <w:p>
            <w:r>
              <w:rPr>
                <w:sz w:val="20"/>
                <w:szCs w:val="20"/>
              </w:rPr>
              <w:t xml:space="preserve">Co-Founder &amp; Chief Medical Officer</w:t>
            </w:r>
          </w:p>
          <w:p>
            <w:r>
              <w:rPr>
                <w:i/>
                <w:iCs/>
                <w:sz w:val="20"/>
                <w:szCs w:val="20"/>
              </w:rPr>
              <w:t xml:space="preserve">co-op.care Technologies LLC</w:t>
            </w:r>
          </w:p>
          <w:p>
            <w:pPr>
              <w:spacing w:before="200"/>
            </w:pPr>
            <w:r>
              <w:rPr>
                <w:sz w:val="20"/>
                <w:szCs w:val="20"/>
              </w:rPr>
              <w:t xml:space="preserve">Date: ___________________</w:t>
            </w:r>
          </w:p>
        </w:tc>
      </w:tr>
    </w:tbl>
    <w:p>
      <w:r>
        <w:br w:type="page"/>
      </w:r>
    </w:p>
    <w:p>
      <w:pPr>
        <w:spacing w:after="200"/>
        <w:jc w:val="center"/>
      </w:pPr>
      <w:r>
        <w:rPr>
          <w:b/>
          <w:bCs/>
          <w:color w:val="1B4F72"/>
          <w:sz w:val="28"/>
          <w:szCs w:val="28"/>
        </w:rPr>
        <w:t xml:space="preserve">EXHIBIT A: THE PHYSICIAN PLATFORM MODEL</w:t>
      </w:r>
    </w:p>
    <w:p>
      <w:pPr>
        <w:spacing w:after="120"/>
        <w:jc w:val="left"/>
      </w:pPr>
      <w:r>
        <w:rPr>
          <w:sz w:val="22"/>
          <w:szCs w:val="22"/>
        </w:rPr>
        <w:t xml:space="preserve">The strategic value of Emdur’s 50-state licensure as the foundation of co-op.care’s national scalability:</w:t>
      </w:r>
    </w:p>
    <w:p>
      <w:pPr>
        <w:spacing w:after="120" w:before="200"/>
        <w:jc w:val="left"/>
      </w:pPr>
      <w:r>
        <w:rPr>
          <w:b/>
          <w:bCs/>
          <w:sz w:val="22"/>
          <w:szCs w:val="22"/>
        </w:rPr>
        <w:t xml:space="preserve">The Autonomous LMN Pipeline</w:t>
      </w:r>
    </w:p>
    <w:p>
      <w:pPr>
        <w:spacing w:after="120"/>
        <w:jc w:val="left"/>
      </w:pPr>
      <w:r>
        <w:rPr>
          <w:sz w:val="22"/>
          <w:szCs w:val="22"/>
        </w:rPr>
        <w:t xml:space="preserve">1. Family caregiver engages Sage AI → Living Profile builds automatically from conversation</w:t>
      </w:r>
    </w:p>
    <w:p>
      <w:pPr>
        <w:spacing w:after="120"/>
        <w:jc w:val="left"/>
      </w:pPr>
      <w:r>
        <w:rPr>
          <w:sz w:val="22"/>
          <w:szCs w:val="22"/>
        </w:rPr>
        <w:t xml:space="preserve">2. CII (burnout) + CRI (acuity) assessments score the care situation</w:t>
      </w:r>
    </w:p>
    <w:p>
      <w:pPr>
        <w:spacing w:after="120"/>
        <w:jc w:val="left"/>
      </w:pPr>
      <w:r>
        <w:rPr>
          <w:sz w:val="22"/>
          <w:szCs w:val="22"/>
        </w:rPr>
        <w:t xml:space="preserve">3. CareOS generates draft Letter of Medical Necessity using structured clinical data</w:t>
      </w:r>
    </w:p>
    <w:p>
      <w:pPr>
        <w:spacing w:after="120"/>
        <w:jc w:val="left"/>
      </w:pPr>
      <w:r>
        <w:rPr>
          <w:sz w:val="22"/>
          <w:szCs w:val="22"/>
        </w:rPr>
        <w:t xml:space="preserve">4. Draft enters Emdur’s Review Queue with clinical summary + risk flags</w:t>
      </w:r>
    </w:p>
    <w:p>
      <w:pPr>
        <w:spacing w:after="120"/>
        <w:jc w:val="left"/>
      </w:pPr>
      <w:r>
        <w:rPr>
          <w:sz w:val="22"/>
          <w:szCs w:val="22"/>
        </w:rPr>
        <w:t xml:space="preserve">5. Emdur reviews, modifies if needed, signs electronically (target: 3–5 min per LMN)</w:t>
      </w:r>
    </w:p>
    <w:p>
      <w:pPr>
        <w:spacing w:after="120"/>
        <w:jc w:val="left"/>
      </w:pPr>
      <w:r>
        <w:rPr>
          <w:sz w:val="22"/>
          <w:szCs w:val="22"/>
        </w:rPr>
        <w:t xml:space="preserve">6. Signed LMN unlocks HSA/FSA eligibility for the family ($150–$300 per LMN)</w:t>
      </w:r>
    </w:p>
    <w:p>
      <w:pPr>
        <w:spacing w:after="120"/>
        <w:jc w:val="left"/>
      </w:pPr>
      <w:r>
        <w:rPr>
          <w:sz w:val="22"/>
          <w:szCs w:val="22"/>
        </w:rPr>
        <w:t xml:space="preserve">7. Family begins receiving co-op.care services → recurring revenue</w:t>
      </w:r>
    </w:p>
    <w:p>
      <w:pPr>
        <w:spacing w:after="120" w:before="200"/>
        <w:jc w:val="left"/>
      </w:pPr>
      <w:r>
        <w:rPr>
          <w:b/>
          <w:bCs/>
          <w:sz w:val="22"/>
          <w:szCs w:val="22"/>
        </w:rPr>
        <w:t xml:space="preserve">Why 50-State Matters</w:t>
      </w:r>
    </w:p>
    <w:p>
      <w:pPr>
        <w:spacing w:after="120"/>
        <w:jc w:val="left"/>
      </w:pPr>
      <w:r>
        <w:rPr>
          <w:sz w:val="22"/>
          <w:szCs w:val="22"/>
        </w:rPr>
        <w:t xml:space="preserve">• co-op.care can serve families in ANY state from Day 1</w:t>
      </w:r>
    </w:p>
    <w:p>
      <w:pPr>
        <w:spacing w:after="120"/>
        <w:jc w:val="left"/>
      </w:pPr>
      <w:r>
        <w:rPr>
          <w:sz w:val="22"/>
          <w:szCs w:val="22"/>
        </w:rPr>
        <w:t xml:space="preserve">• No need to recruit state-by-state medical directors</w:t>
      </w:r>
    </w:p>
    <w:p>
      <w:pPr>
        <w:spacing w:after="120"/>
        <w:jc w:val="left"/>
      </w:pPr>
      <w:r>
        <w:rPr>
          <w:sz w:val="22"/>
          <w:szCs w:val="22"/>
        </w:rPr>
        <w:t xml:space="preserve">• Single NPI for all incident-to billing nationwide</w:t>
      </w:r>
    </w:p>
    <w:p>
      <w:pPr>
        <w:spacing w:after="120"/>
        <w:jc w:val="left"/>
      </w:pPr>
      <w:r>
        <w:rPr>
          <w:sz w:val="22"/>
          <w:szCs w:val="22"/>
        </w:rPr>
        <w:t xml:space="preserve">• LMN revenue scales linearly with Emdur’s review hours (10–20 per hour = $1,500–$6,000/hr revenue generation)</w:t>
      </w:r>
    </w:p>
    <w:p>
      <w:pPr>
        <w:spacing w:after="120"/>
        <w:jc w:val="left"/>
      </w:pPr>
      <w:r>
        <w:rPr>
          <w:sz w:val="22"/>
          <w:szCs w:val="22"/>
        </w:rPr>
        <w:t xml:space="preserve">• As volume grows, Emdur delegates to supervised physicians in specific states</w:t>
      </w:r>
    </w:p>
    <w:p>
      <w:pPr>
        <w:spacing w:after="120" w:before="200"/>
        <w:jc w:val="left"/>
      </w:pPr>
      <w:r>
        <w:rPr>
          <w:b/>
          <w:bCs/>
          <w:sz w:val="22"/>
          <w:szCs w:val="22"/>
        </w:rPr>
        <w:t xml:space="preserve">Revenue Projection per LMN Hour</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tcBorders>
              <w:top w:val="single" w:color="999999" w:sz="1"/>
              <w:left w:val="single" w:color="999999" w:sz="1"/>
              <w:bottom w:val="single" w:color="999999" w:sz="1"/>
              <w:right w:val="single" w:color="999999" w:sz="1"/>
            </w:tcBorders>
            <w:shd w:fill="1B4F72" w:val="clear"/>
            <w:tcMar>
              <w:top w:type="dxa" w:w="60"/>
              <w:left w:type="dxa" w:w="120"/>
              <w:bottom w:type="dxa" w:w="60"/>
              <w:right w:type="dxa" w:w="120"/>
            </w:tcMar>
          </w:tcPr>
          <w:p>
            <w:pPr>
              <w:jc w:val="center"/>
            </w:pPr>
            <w:r>
              <w:rPr>
                <w:b/>
                <w:bCs/>
                <w:color w:val="FFFFFF"/>
                <w:sz w:val="20"/>
                <w:szCs w:val="20"/>
              </w:rPr>
              <w:t xml:space="preserve">LMNs/Hour</w:t>
            </w:r>
          </w:p>
        </w:tc>
        <w:tc>
          <w:tcPr>
            <w:tcW w:type="dxa" w:w="2400"/>
            <w:tcBorders>
              <w:top w:val="single" w:color="999999" w:sz="1"/>
              <w:left w:val="single" w:color="999999" w:sz="1"/>
              <w:bottom w:val="single" w:color="999999" w:sz="1"/>
              <w:right w:val="single" w:color="999999" w:sz="1"/>
            </w:tcBorders>
            <w:shd w:fill="1B4F72" w:val="clear"/>
            <w:tcMar>
              <w:top w:type="dxa" w:w="60"/>
              <w:left w:type="dxa" w:w="120"/>
              <w:bottom w:type="dxa" w:w="60"/>
              <w:right w:type="dxa" w:w="120"/>
            </w:tcMar>
          </w:tcPr>
          <w:p>
            <w:pPr>
              <w:jc w:val="center"/>
            </w:pPr>
            <w:r>
              <w:rPr>
                <w:b/>
                <w:bCs/>
                <w:color w:val="FFFFFF"/>
                <w:sz w:val="20"/>
                <w:szCs w:val="20"/>
              </w:rPr>
              <w:t xml:space="preserve">Revenue @ $200</w:t>
            </w:r>
          </w:p>
        </w:tc>
        <w:tc>
          <w:tcPr>
            <w:tcW w:type="dxa" w:w="2400"/>
            <w:tcBorders>
              <w:top w:val="single" w:color="999999" w:sz="1"/>
              <w:left w:val="single" w:color="999999" w:sz="1"/>
              <w:bottom w:val="single" w:color="999999" w:sz="1"/>
              <w:right w:val="single" w:color="999999" w:sz="1"/>
            </w:tcBorders>
            <w:shd w:fill="1B4F72" w:val="clear"/>
            <w:tcMar>
              <w:top w:type="dxa" w:w="60"/>
              <w:left w:type="dxa" w:w="120"/>
              <w:bottom w:type="dxa" w:w="60"/>
              <w:right w:type="dxa" w:w="120"/>
            </w:tcMar>
          </w:tcPr>
          <w:p>
            <w:pPr>
              <w:jc w:val="center"/>
            </w:pPr>
            <w:r>
              <w:rPr>
                <w:b/>
                <w:bCs/>
                <w:color w:val="FFFFFF"/>
                <w:sz w:val="20"/>
                <w:szCs w:val="20"/>
              </w:rPr>
              <w:t xml:space="preserve">Annual (5 hrs/wk)</w:t>
            </w:r>
          </w:p>
        </w:tc>
      </w:tr>
      <w:tr>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sz w:val="20"/>
                <w:szCs w:val="20"/>
              </w:rPr>
              <w:t xml:space="preserve">10</w:t>
            </w:r>
          </w:p>
        </w:tc>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sz w:val="20"/>
                <w:szCs w:val="20"/>
              </w:rPr>
              <w:t xml:space="preserve">$2,000</w:t>
            </w:r>
          </w:p>
        </w:tc>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sz w:val="20"/>
                <w:szCs w:val="20"/>
              </w:rPr>
              <w:t xml:space="preserve">$520,000</w:t>
            </w:r>
          </w:p>
        </w:tc>
      </w:tr>
      <w:tr>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sz w:val="20"/>
                <w:szCs w:val="20"/>
              </w:rPr>
              <w:t xml:space="preserve">15</w:t>
            </w:r>
          </w:p>
        </w:tc>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sz w:val="20"/>
                <w:szCs w:val="20"/>
              </w:rPr>
              <w:t xml:space="preserve">$3,000</w:t>
            </w:r>
          </w:p>
        </w:tc>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sz w:val="20"/>
                <w:szCs w:val="20"/>
              </w:rPr>
              <w:t xml:space="preserve">$780,000</w:t>
            </w:r>
          </w:p>
        </w:tc>
      </w:tr>
      <w:tr>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sz w:val="20"/>
                <w:szCs w:val="20"/>
              </w:rPr>
              <w:t xml:space="preserve">20</w:t>
            </w:r>
          </w:p>
        </w:tc>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sz w:val="20"/>
                <w:szCs w:val="20"/>
              </w:rPr>
              <w:t xml:space="preserve">$4,000</w:t>
            </w:r>
          </w:p>
        </w:tc>
        <w:tc>
          <w:tcPr>
            <w:tcW w:type="dxa" w:w="2400"/>
            <w:tcBorders>
              <w:top w:val="single" w:color="999999" w:sz="1"/>
              <w:left w:val="single" w:color="999999" w:sz="1"/>
              <w:bottom w:val="single" w:color="999999" w:sz="1"/>
              <w:right w:val="single" w:color="999999" w:sz="1"/>
            </w:tcBorders>
            <w:tcMar>
              <w:top w:type="dxa" w:w="60"/>
              <w:left w:type="dxa" w:w="120"/>
              <w:bottom w:type="dxa" w:w="60"/>
              <w:right w:type="dxa" w:w="120"/>
            </w:tcMar>
          </w:tcPr>
          <w:p>
            <w:pPr>
              <w:jc w:val="center"/>
            </w:pPr>
            <w:r>
              <w:rPr>
                <w:sz w:val="20"/>
                <w:szCs w:val="20"/>
              </w:rPr>
              <w:t xml:space="preserve">$1,040,000</w:t>
            </w:r>
          </w:p>
        </w:tc>
      </w:tr>
    </w:tbl>
    <w:p>
      <w:pPr>
        <w:spacing w:after="120"/>
        <w:jc w:val="left"/>
      </w:pPr>
      <w:r>
        <w:rPr>
          <w:sz w:val="22"/>
          <w:szCs w:val="22"/>
        </w:rPr>
        <w:t xml:space="preserve"/>
      </w:r>
    </w:p>
    <w:p>
      <w:pPr>
        <w:spacing w:after="120"/>
        <w:jc w:val="left"/>
      </w:pPr>
      <w:r>
        <w:rPr>
          <w:b/>
          <w:bCs/>
          <w:i/>
          <w:iCs/>
          <w:sz w:val="22"/>
          <w:szCs w:val="22"/>
        </w:rPr>
        <w:t xml:space="preserve">At just 5 hours per week of LMN review, the physician platform generates $520K–$1.04M in annual LMN revenue alone — before any service revenue.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CONFIDENTIAL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co-op.care Technologies LLC — Co-Founder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B4F72"/>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2026-03-14T19:25:07.514Z</dcterms:created>
  <dcterms:modified xsi:type="dcterms:W3CDTF">2026-03-14T19:25:07.515Z</dcterms:modified>
</cp:coreProperties>
</file>

<file path=docProps/custom.xml><?xml version="1.0" encoding="utf-8"?>
<Properties xmlns="http://schemas.openxmlformats.org/officeDocument/2006/custom-properties" xmlns:vt="http://schemas.openxmlformats.org/officeDocument/2006/docPropsVTypes"/>
</file>