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6b5a"/>
          <w:sz w:val="28"/>
          <w:szCs w:val="28"/>
        </w:rPr>
        <w:t xml:space="preserve">Family Care Cooperative</w:t>
      </w:r>
    </w:p>
    <w:p>
      <w:pPr>
        <w:spacing w:after="240"/>
      </w:pPr>
      <w:r>
        <w:rPr>
          <w:i/>
          <w:iCs/>
          <w:color w:val="d4a84b"/>
          <w:sz w:val="20"/>
          <w:szCs w:val="20"/>
        </w:rPr>
        <w:t xml:space="preserve">Employee Caregiving Benefit</w:t>
      </w:r>
    </w:p>
    <w:p>
      <w:pPr>
        <w:spacing w:after="240"/>
      </w:pPr>
      <w:r>
        <w:t xml:space="preserve">34% of your workforce is quietly struggling with caregiving responsibilities. They're missing work, losing focus, and considering quitting — costing you $5,365 per employee per year. What if you could offer them reliable, flexible companion care starting at $550/month?</w:t>
      </w:r>
    </w:p>
    <w:p>
      <w:pPr>
        <w:spacing w:after="120"/>
      </w:pPr>
      <w:r>
        <w:rPr>
          <w:b/>
          <w:bCs/>
          <w:color w:val="1a6b5a"/>
          <w:sz w:val="24"/>
          <w:szCs w:val="24"/>
        </w:rPr>
        <w:t xml:space="preserve">The Hidden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6.6 days</w:t>
            </w:r>
          </w:p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missed/year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$5,365</w:t>
            </w:r>
          </w:p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hidden cost/year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$1.3T</w:t>
            </w:r>
          </w:p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total caregiving value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/>
      </w:pPr>
      <w:r>
        <w:rPr>
          <w:b/>
          <w:bCs/>
          <w:color w:val="1a6b5a"/>
          <w:sz w:val="24"/>
          <w:szCs w:val="24"/>
        </w:rPr>
        <w:t xml:space="preserve">How FCC Works as a Benefit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  <w:color w:val="1a6b5a"/>
                <w:sz w:val="22"/>
                <w:szCs w:val="22"/>
              </w:rPr>
              <w:t xml:space="preserve">For Your Employees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Dedicated companion caregiver in their parent's neighborhood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Flexible: 5–40 hrs/week, scaling with actual needs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HSA-eligible (25–37% tax savings)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Same person every visit — 15% turnover vs 77% industry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  <w:color w:val="1a6b5a"/>
                <w:sz w:val="22"/>
                <w:szCs w:val="22"/>
              </w:rPr>
              <w:t xml:space="preserve">For Your Organization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Voluntary benefit (no direct employer cost)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OR HSA enhancement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Reduces absenteeism, presenteeism, caregiving-related turnover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Harvard Business School: 72% ROI on caregiver support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/>
      </w:pPr>
      <w:r>
        <w:rPr>
          <w:b/>
          <w:bCs/>
          <w:color w:val="1a6b5a"/>
          <w:sz w:val="24"/>
          <w:szCs w:val="24"/>
        </w:rPr>
        <w:t xml:space="preserve">Flexible Pricing Tiers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Peace of Mind: $550/mo (5 hrs/wk)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Regular: $1,100–$1,650/mo (10–15 hrs/wk)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Daily: $2,200–$2,750/mo (20–25 hrs/wk)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Intensive: $3,300–$4,400/mo (30–40 hrs/wk)</w:t>
      </w:r>
    </w:p>
    <w:p>
      <w:pPr>
        <w:spacing w:after="120"/>
      </w:pPr>
      <w:r>
        <w:rPr>
          <w:b/>
          <w:bCs/>
          <w:color w:val="1a6b5a"/>
          <w:sz w:val="24"/>
          <w:szCs w:val="24"/>
        </w:rPr>
        <w:t xml:space="preserve">The Ask</w:t>
      </w:r>
    </w:p>
    <w:p>
      <w:pPr>
        <w:spacing w:after="280"/>
      </w:pPr>
      <w:r>
        <w:t xml:space="preserve">We're launching in Boulder and seeking employer partners. No cost to explore.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Blaine Warkentine | Founder</w:t>
      </w:r>
    </w:p>
    <w:p>
      <w:pPr>
        <w:spacing w:after="120"/>
      </w:pPr>
      <w:r>
        <w:rPr>
          <w:color w:val="1a6b5a"/>
          <w:sz w:val="20"/>
          <w:szCs w:val="20"/>
        </w:rPr>
        <w:t xml:space="preserve">orthoblaino@gmail.com</w:t>
      </w:r>
    </w:p>
    <w:p>
      <w:pPr>
        <w:spacing w:after="120"/>
      </w:pPr>
      <w:r>
        <w:rPr>
          <w:i/>
          <w:iCs/>
          <w:color w:val="333333"/>
          <w:sz w:val="18"/>
          <w:szCs w:val="18"/>
        </w:rPr>
        <w:t xml:space="preserve">20+ years in health system partnerships | Built BrainLAB's $250M orthopedic vertical | MD, MBA</w:t>
      </w:r>
    </w:p>
    <w:p>
      <w:r>
        <w:rPr>
          <w:i/>
          <w:iCs/>
          <w:color w:val="333333"/>
          <w:sz w:val="18"/>
          <w:szCs w:val="18"/>
        </w:rPr>
        <w:t xml:space="preserve">Sources: AARP, Harvard Business School, Bureau of Labor Statistics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120"/>
      <w:outlineLvl w:val="0"/>
    </w:pPr>
    <w:rPr>
      <w:rFonts w:ascii="Arial" w:cs="Arial" w:eastAsia="Arial" w:hAnsi="Arial"/>
      <w:b/>
      <w:bCs/>
      <w:color w:val="1a6b5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2026-02-18T19:24:12.803Z</dcterms:created>
  <dcterms:modified xsi:type="dcterms:W3CDTF">2026-02-18T19:24:12.803Z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