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pPr>
    </w:p>
    <w:p>
      <w:pPr>
        <w:spacing w:after="40"/>
      </w:pPr>
      <w:r>
        <w:rPr>
          <w:rFonts w:ascii="Georgia" w:cs="Georgia" w:eastAsia="Georgia" w:hAnsi="Georgia"/>
          <w:b/>
          <w:bCs/>
          <w:color w:val="3D2B1F"/>
          <w:sz w:val="36"/>
          <w:szCs w:val="36"/>
        </w:rPr>
        <w:t xml:space="preserve">Introduction to co-op.care</w:t>
      </w:r>
    </w:p>
    <w:p>
      <w:pPr>
        <w:spacing w:after="20"/>
      </w:pPr>
      <w:r>
        <w:rPr>
          <w:rFonts w:ascii="Georgia" w:cs="Georgia" w:eastAsia="Georgia" w:hAnsi="Georgia"/>
          <w:color w:val="2A7D6E"/>
          <w:sz w:val="24"/>
          <w:szCs w:val="24"/>
        </w:rPr>
        <w:t xml:space="preserve">For the Boulder Community Health Foundation Team</w:t>
      </w:r>
    </w:p>
    <w:p>
      <w:pPr>
        <w:spacing w:after="300"/>
      </w:pPr>
      <w:r>
        <w:rPr>
          <w:rFonts w:ascii="Georgia" w:cs="Georgia" w:eastAsia="Georgia" w:hAnsi="Georgia"/>
          <w:color w:val="6D6155"/>
          <w:sz w:val="20"/>
          <w:szCs w:val="20"/>
        </w:rPr>
        <w:t xml:space="preserve">March 2026</w:t>
      </w:r>
    </w:p>
    <w:p>
      <w:pPr>
        <w:spacing w:after="160" w:line="312"/>
      </w:pPr>
      <w:r>
        <w:rPr>
          <w:rFonts w:ascii="Georgia" w:cs="Georgia" w:eastAsia="Georgia" w:hAnsi="Georgia"/>
          <w:color w:val="3D2B1F"/>
          <w:sz w:val="22"/>
          <w:szCs w:val="22"/>
        </w:rPr>
        <w:t xml:space="preserve">Thank you for making time to connect. I watched the BCH Foundation’s video about your work over the past century, and one phrase stayed with me: </w:t>
      </w:r>
      <w:r>
        <w:rPr>
          <w:rFonts w:ascii="Georgia" w:cs="Georgia" w:eastAsia="Georgia" w:hAnsi="Georgia"/>
          <w:i/>
          <w:iCs/>
          <w:color w:val="2A7D6E"/>
          <w:sz w:val="22"/>
          <w:szCs w:val="22"/>
        </w:rPr>
        <w:t xml:space="preserve">“supporting our patients wouldn’t be possible without the joint efforts with our community.”</w:t>
      </w:r>
    </w:p>
    <w:p>
      <w:pPr>
        <w:spacing w:after="160" w:line="312"/>
      </w:pPr>
      <w:r>
        <w:rPr>
          <w:rFonts w:ascii="Georgia" w:cs="Georgia" w:eastAsia="Georgia" w:hAnsi="Georgia"/>
          <w:color w:val="3D2B1F"/>
          <w:sz w:val="22"/>
          <w:szCs w:val="22"/>
        </w:rPr>
        <w:t xml:space="preserve">That’s what co-op.care is — a joint effort between the community, the caregivers who serve it, and the health system that anchors it.</w:t>
      </w:r>
    </w:p>
    <w:p>
      <w:pPr>
        <w:pStyle w:val="Heading1"/>
        <w:spacing w:before="360" w:after="160"/>
      </w:pPr>
      <w:r>
        <w:rPr>
          <w:rFonts w:ascii="Georgia" w:cs="Georgia" w:eastAsia="Georgia" w:hAnsi="Georgia"/>
          <w:b/>
          <w:bCs/>
          <w:color w:val="3D2B1F"/>
          <w:sz w:val="28"/>
          <w:szCs w:val="28"/>
        </w:rPr>
        <w:t xml:space="preserve">What co-op.care Is</w:t>
      </w:r>
    </w:p>
    <w:p>
      <w:pPr>
        <w:spacing w:after="160" w:line="312"/>
      </w:pPr>
      <w:r>
        <w:rPr>
          <w:rFonts w:ascii="Georgia" w:cs="Georgia" w:eastAsia="Georgia" w:hAnsi="Georgia"/>
          <w:color w:val="3D2B1F"/>
          <w:sz w:val="22"/>
          <w:szCs w:val="22"/>
        </w:rPr>
        <w:t xml:space="preserve">co-op.care is a worker-owned home care cooperative based in Boulder. We provide professional in-home caregivers to families caring for aging loved ones — at $35 per hour, with caregivers earning $25–28 per hour as W-2 employees with benefits and equity ownership in the cooperative.</w:t>
      </w:r>
    </w:p>
    <w:p>
      <w:pPr>
        <w:spacing w:after="160" w:line="312"/>
      </w:pPr>
      <w:r>
        <w:rPr>
          <w:rFonts w:ascii="Georgia" w:cs="Georgia" w:eastAsia="Georgia" w:hAnsi="Georgia"/>
          <w:color w:val="3D2B1F"/>
          <w:sz w:val="22"/>
          <w:szCs w:val="22"/>
        </w:rPr>
        <w:t xml:space="preserve">The cooperative model solves the industry’s core problem: </w:t>
      </w:r>
      <w:r>
        <w:rPr>
          <w:rFonts w:ascii="Georgia" w:cs="Georgia" w:eastAsia="Georgia" w:hAnsi="Georgia"/>
          <w:b/>
          <w:bCs/>
          <w:color w:val="3D2B1F"/>
          <w:sz w:val="22"/>
          <w:szCs w:val="22"/>
        </w:rPr>
        <w:t xml:space="preserve">caregiver turnover.</w:t>
      </w:r>
      <w:r>
        <w:rPr>
          <w:rFonts w:ascii="Georgia" w:cs="Georgia" w:eastAsia="Georgia" w:hAnsi="Georgia"/>
          <w:color w:val="3D2B1F"/>
          <w:sz w:val="22"/>
          <w:szCs w:val="22"/>
        </w:rPr>
        <w:t xml:space="preserve"> Traditional home care agencies lose 77% of their workforce annually. Cooperative home care agencies average 36%. When caregivers own the company, they stay — and families get the continuity that actually makes care work.</w:t>
      </w:r>
    </w:p>
    <w:p>
      <w:pPr>
        <w:spacing w:after="100" w:line="312"/>
      </w:pPr>
      <w:r>
        <w:rPr>
          <w:rFonts w:ascii="Georgia" w:cs="Georgia" w:eastAsia="Georgia" w:hAnsi="Georgia"/>
          <w:color w:val="3D2B1F"/>
          <w:sz w:val="22"/>
          <w:szCs w:val="22"/>
        </w:rPr>
        <w:t xml:space="preserve">Beyond professional caregivers, co-op.care includes:</w:t>
      </w:r>
    </w:p>
    <w:p>
      <w:pPr>
        <w:pStyle w:val="ListParagraph"/>
        <w:numPr>
          <w:ilvl w:val="0"/>
          <w:numId w:val="2"/>
        </w:numPr>
        <w:spacing w:after="60" w:line="300"/>
      </w:pPr>
      <w:r>
        <w:rPr>
          <w:rFonts w:ascii="Georgia" w:cs="Georgia" w:eastAsia="Georgia" w:hAnsi="Georgia"/>
          <w:b/>
          <w:bCs/>
          <w:color w:val="3D2B1F"/>
          <w:sz w:val="22"/>
          <w:szCs w:val="22"/>
        </w:rPr>
        <w:t xml:space="preserve">A Community Time Bank </w:t>
      </w:r>
      <w:r>
        <w:rPr>
          <w:rFonts w:ascii="Georgia" w:cs="Georgia" w:eastAsia="Georgia" w:hAnsi="Georgia"/>
          <w:color w:val="6D6155"/>
          <w:sz w:val="22"/>
          <w:szCs w:val="22"/>
        </w:rPr>
        <w:t xml:space="preserve">where neighbors exchange non-clinical support — companionship, rides, meal prep — without money changing hands</w:t>
      </w:r>
    </w:p>
    <w:p>
      <w:pPr>
        <w:pStyle w:val="ListParagraph"/>
        <w:numPr>
          <w:ilvl w:val="0"/>
          <w:numId w:val="2"/>
        </w:numPr>
        <w:spacing w:after="60" w:line="300"/>
      </w:pPr>
      <w:r>
        <w:rPr>
          <w:rFonts w:ascii="Georgia" w:cs="Georgia" w:eastAsia="Georgia" w:hAnsi="Georgia"/>
          <w:b/>
          <w:bCs/>
          <w:color w:val="3D2B1F"/>
          <w:sz w:val="22"/>
          <w:szCs w:val="22"/>
        </w:rPr>
        <w:t xml:space="preserve">Clinical AI monitoring </w:t>
      </w:r>
      <w:r>
        <w:rPr>
          <w:rFonts w:ascii="Georgia" w:cs="Georgia" w:eastAsia="Georgia" w:hAnsi="Georgia"/>
          <w:color w:val="6D6155"/>
          <w:sz w:val="22"/>
          <w:szCs w:val="22"/>
        </w:rPr>
        <w:t xml:space="preserve">that tracks patient status between visits using standardized clinical taxonomy and interoperable health data standards (FHIR R4)</w:t>
      </w:r>
    </w:p>
    <w:p>
      <w:pPr>
        <w:pStyle w:val="ListParagraph"/>
        <w:numPr>
          <w:ilvl w:val="0"/>
          <w:numId w:val="2"/>
        </w:numPr>
        <w:spacing w:after="60" w:line="300"/>
      </w:pPr>
      <w:r>
        <w:rPr>
          <w:rFonts w:ascii="Georgia" w:cs="Georgia" w:eastAsia="Georgia" w:hAnsi="Georgia"/>
          <w:b/>
          <w:bCs/>
          <w:color w:val="3D2B1F"/>
          <w:sz w:val="22"/>
          <w:szCs w:val="22"/>
        </w:rPr>
        <w:t xml:space="preserve">Proprietary clinical assessments </w:t>
      </w:r>
      <w:r>
        <w:rPr>
          <w:rFonts w:ascii="Georgia" w:cs="Georgia" w:eastAsia="Georgia" w:hAnsi="Georgia"/>
          <w:color w:val="6D6155"/>
          <w:sz w:val="22"/>
          <w:szCs w:val="22"/>
        </w:rPr>
        <w:t xml:space="preserve">— the Caregiver Intensity Index measures family caregiver burnout across 12 dimensions, and the Care Readiness Index maps clinical acuity to determine the right level of support</w:t>
      </w:r>
    </w:p>
    <w:p>
      <w:pPr>
        <w:pStyle w:val="ListParagraph"/>
        <w:numPr>
          <w:ilvl w:val="0"/>
          <w:numId w:val="2"/>
        </w:numPr>
        <w:spacing w:after="160" w:line="300"/>
      </w:pPr>
      <w:r>
        <w:rPr>
          <w:rFonts w:ascii="Georgia" w:cs="Georgia" w:eastAsia="Georgia" w:hAnsi="Georgia"/>
          <w:b/>
          <w:bCs/>
          <w:color w:val="3D2B1F"/>
          <w:sz w:val="22"/>
          <w:szCs w:val="22"/>
        </w:rPr>
        <w:t xml:space="preserve">Physician-directed oversight </w:t>
      </w:r>
      <w:r>
        <w:rPr>
          <w:rFonts w:ascii="Georgia" w:cs="Georgia" w:eastAsia="Georgia" w:hAnsi="Georgia"/>
          <w:color w:val="6D6155"/>
          <w:sz w:val="22"/>
          <w:szCs w:val="22"/>
        </w:rPr>
        <w:t xml:space="preserve">that makes care HSA/FSA eligible as a qualified medical expense, reducing cost to families by 28–36% through pre-tax savings</w:t>
      </w:r>
    </w:p>
    <w:p>
      <w:pPr>
        <w:pStyle w:val="Heading1"/>
        <w:spacing w:before="360" w:after="160"/>
      </w:pPr>
      <w:r>
        <w:rPr>
          <w:rFonts w:ascii="Georgia" w:cs="Georgia" w:eastAsia="Georgia" w:hAnsi="Georgia"/>
          <w:b/>
          <w:bCs/>
          <w:color w:val="3D2B1F"/>
          <w:sz w:val="28"/>
          <w:szCs w:val="28"/>
        </w:rPr>
        <w:t xml:space="preserve">Why We’re Reaching Out to BCH Foundation</w:t>
      </w:r>
    </w:p>
    <w:p>
      <w:pPr>
        <w:spacing w:after="160" w:line="312"/>
      </w:pPr>
      <w:r>
        <w:rPr>
          <w:rFonts w:ascii="Georgia" w:cs="Georgia" w:eastAsia="Georgia" w:hAnsi="Georgia"/>
          <w:color w:val="3D2B1F"/>
          <w:sz w:val="22"/>
          <w:szCs w:val="22"/>
        </w:rPr>
        <w:t xml:space="preserve">BCH is a community-owned nonprofit health system. co-op.care is a community-owned cooperative. We share the same structural principle: </w:t>
      </w:r>
      <w:r>
        <w:rPr>
          <w:rFonts w:ascii="Georgia" w:cs="Georgia" w:eastAsia="Georgia" w:hAnsi="Georgia"/>
          <w:i/>
          <w:iCs/>
          <w:color w:val="2A7D6E"/>
          <w:sz w:val="22"/>
          <w:szCs w:val="22"/>
        </w:rPr>
        <w:t xml:space="preserve">the people we serve are the people who own us.</w:t>
      </w:r>
    </w:p>
    <w:p>
      <w:pPr>
        <w:spacing w:after="160" w:line="312"/>
      </w:pPr>
      <w:r>
        <w:rPr>
          <w:rFonts w:ascii="Georgia" w:cs="Georgia" w:eastAsia="Georgia" w:hAnsi="Georgia"/>
          <w:color w:val="3D2B1F"/>
          <w:sz w:val="22"/>
          <w:szCs w:val="22"/>
        </w:rPr>
        <w:t xml:space="preserve">We also share the same challenges. Your Foundation video names them directly: staffing shortages, an aging population, insurance payment compression, and the need for community partnerships that extend care beyond the hospital walls. co-op.care is designed to address each of these.</w:t>
      </w:r>
    </w:p>
    <w:p>
      <w:pPr>
        <w:spacing w:after="160" w:line="312"/>
      </w:pPr>
      <w:r>
        <w:rPr>
          <w:rFonts w:ascii="Georgia" w:cs="Georgia" w:eastAsia="Georgia" w:hAnsi="Georgia"/>
          <w:color w:val="3D2B1F"/>
          <w:sz w:val="22"/>
          <w:szCs w:val="22"/>
        </w:rPr>
        <w:t xml:space="preserve">We see three areas of natural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0C8" w:sz="1"/>
              <w:left w:val="single" w:color="D5D0C8" w:sz="1"/>
              <w:bottom w:val="single" w:color="D5D0C8" w:sz="1"/>
              <w:right w:val="single" w:color="D5D0C8" w:sz="1"/>
            </w:tcBorders>
            <w:shd w:fill="2A7D6E" w:val="clear"/>
            <w:tcMar>
              <w:top w:type="dxa" w:w="100"/>
              <w:left w:type="dxa" w:w="140"/>
              <w:bottom w:type="dxa" w:w="100"/>
              <w:right w:type="dxa" w:w="140"/>
            </w:tcMar>
          </w:tcPr>
          <w:p>
            <w:r>
              <w:rPr>
                <w:rFonts w:ascii="Georgia" w:cs="Georgia" w:eastAsia="Georgia" w:hAnsi="Georgia"/>
                <w:b/>
                <w:bCs/>
                <w:color w:val="FFFFFF"/>
                <w:sz w:val="20"/>
                <w:szCs w:val="20"/>
              </w:rPr>
              <w:t xml:space="preserve">Area</w:t>
            </w:r>
          </w:p>
        </w:tc>
        <w:tc>
          <w:tcPr>
            <w:tcW w:type="dxa" w:w="6560"/>
            <w:tcBorders>
              <w:top w:val="single" w:color="D5D0C8" w:sz="1"/>
              <w:left w:val="single" w:color="D5D0C8" w:sz="1"/>
              <w:bottom w:val="single" w:color="D5D0C8" w:sz="1"/>
              <w:right w:val="single" w:color="D5D0C8" w:sz="1"/>
            </w:tcBorders>
            <w:shd w:fill="2A7D6E" w:val="clear"/>
            <w:tcMar>
              <w:top w:type="dxa" w:w="100"/>
              <w:left w:type="dxa" w:w="140"/>
              <w:bottom w:type="dxa" w:w="100"/>
              <w:right w:type="dxa" w:w="140"/>
            </w:tcMar>
          </w:tcPr>
          <w:p>
            <w:r>
              <w:rPr>
                <w:rFonts w:ascii="Georgia" w:cs="Georgia" w:eastAsia="Georgia" w:hAnsi="Georgia"/>
                <w:b/>
                <w:bCs/>
                <w:color w:val="FFFFFF"/>
                <w:sz w:val="20"/>
                <w:szCs w:val="20"/>
              </w:rPr>
              <w:t xml:space="preserve">How co-op.care Connects</w:t>
            </w:r>
          </w:p>
        </w:tc>
      </w:tr>
      <w:tr>
        <w:tc>
          <w:tcPr>
            <w:tcW w:type="dxa" w:w="2800"/>
            <w:tcBorders>
              <w:top w:val="single" w:color="D5D0C8" w:sz="1"/>
              <w:left w:val="single" w:color="D5D0C8" w:sz="1"/>
              <w:bottom w:val="single" w:color="D5D0C8" w:sz="1"/>
              <w:right w:val="single" w:color="D5D0C8" w:sz="1"/>
            </w:tcBorders>
            <w:shd w:fill="F5F0E8" w:val="clear"/>
            <w:tcMar>
              <w:top w:type="dxa" w:w="100"/>
              <w:left w:type="dxa" w:w="140"/>
              <w:bottom w:type="dxa" w:w="100"/>
              <w:right w:type="dxa" w:w="140"/>
            </w:tcMar>
          </w:tcPr>
          <w:p>
            <w:r>
              <w:rPr>
                <w:rFonts w:ascii="Georgia" w:cs="Georgia" w:eastAsia="Georgia" w:hAnsi="Georgia"/>
                <w:b/>
                <w:bCs/>
                <w:color w:val="3D2B1F"/>
                <w:sz w:val="20"/>
                <w:szCs w:val="20"/>
              </w:rPr>
              <w:t xml:space="preserve">Discharge Coordination</w:t>
            </w:r>
          </w:p>
        </w:tc>
        <w:tc>
          <w:tcPr>
            <w:tcW w:type="dxa" w:w="6560"/>
            <w:tcBorders>
              <w:top w:val="single" w:color="D5D0C8" w:sz="1"/>
              <w:left w:val="single" w:color="D5D0C8" w:sz="1"/>
              <w:bottom w:val="single" w:color="D5D0C8" w:sz="1"/>
              <w:right w:val="single" w:color="D5D0C8" w:sz="1"/>
            </w:tcBorders>
            <w:shd w:fill="F5F0E8" w:val="clear"/>
            <w:tcMar>
              <w:top w:type="dxa" w:w="100"/>
              <w:left w:type="dxa" w:w="140"/>
              <w:bottom w:type="dxa" w:w="100"/>
              <w:right w:type="dxa" w:w="140"/>
            </w:tcMar>
          </w:tcPr>
          <w:p>
            <w:pPr>
              <w:spacing w:line="280"/>
            </w:pPr>
            <w:r>
              <w:rPr>
                <w:rFonts w:ascii="Georgia" w:cs="Georgia" w:eastAsia="Georgia" w:hAnsi="Georgia"/>
                <w:color w:val="6D6155"/>
                <w:sz w:val="20"/>
                <w:szCs w:val="20"/>
              </w:rPr>
              <w:t xml:space="preserve">Patients who are medically cleared but lack safe home care create costly blocked bed-days. co-op.care provides a worker-owner caregiver in the home within 24 hours of a discharge order, with ongoing monitoring. This can be structured so that BCH bills Medicare’s Community Health Integration and Principal Illness Navigation codes — generating net-new revenue rather than drawing on donor funds.</w:t>
            </w:r>
          </w:p>
        </w:tc>
      </w:tr>
      <w:tr>
        <w:tc>
          <w:tcPr>
            <w:tcW w:type="dxa" w:w="28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Georgia" w:cs="Georgia" w:eastAsia="Georgia" w:hAnsi="Georgia"/>
                <w:b/>
                <w:bCs/>
                <w:color w:val="3D2B1F"/>
                <w:sz w:val="20"/>
                <w:szCs w:val="20"/>
              </w:rPr>
              <w:t xml:space="preserve">Community Health</w:t>
            </w:r>
          </w:p>
        </w:tc>
        <w:tc>
          <w:tcPr>
            <w:tcW w:type="dxa" w:w="6560"/>
            <w:tcBorders>
              <w:top w:val="single" w:color="D5D0C8" w:sz="1"/>
              <w:left w:val="single" w:color="D5D0C8" w:sz="1"/>
              <w:bottom w:val="single" w:color="D5D0C8" w:sz="1"/>
              <w:right w:val="single" w:color="D5D0C8" w:sz="1"/>
            </w:tcBorders>
            <w:tcMar>
              <w:top w:type="dxa" w:w="100"/>
              <w:left w:type="dxa" w:w="140"/>
              <w:bottom w:type="dxa" w:w="100"/>
              <w:right w:type="dxa" w:w="140"/>
            </w:tcMar>
          </w:tcPr>
          <w:p>
            <w:pPr>
              <w:spacing w:line="280"/>
            </w:pPr>
            <w:r>
              <w:rPr>
                <w:rFonts w:ascii="Georgia" w:cs="Georgia" w:eastAsia="Georgia" w:hAnsi="Georgia"/>
                <w:color w:val="6D6155"/>
                <w:sz w:val="20"/>
                <w:szCs w:val="20"/>
              </w:rPr>
              <w:t xml:space="preserve">Our Time Bank and cooperative model directly address social determinants of health: social isolation, transportation barriers, food access, and caregiver burnout. These map closely to the Foundation’s Community Collaboration Fund priorities around aging and access to care.</w:t>
            </w:r>
          </w:p>
        </w:tc>
      </w:tr>
      <w:tr>
        <w:tc>
          <w:tcPr>
            <w:tcW w:type="dxa" w:w="2800"/>
            <w:tcBorders>
              <w:top w:val="single" w:color="D5D0C8" w:sz="1"/>
              <w:left w:val="single" w:color="D5D0C8" w:sz="1"/>
              <w:bottom w:val="single" w:color="D5D0C8" w:sz="1"/>
              <w:right w:val="single" w:color="D5D0C8" w:sz="1"/>
            </w:tcBorders>
            <w:shd w:fill="F5F0E8" w:val="clear"/>
            <w:tcMar>
              <w:top w:type="dxa" w:w="100"/>
              <w:left w:type="dxa" w:w="140"/>
              <w:bottom w:type="dxa" w:w="100"/>
              <w:right w:type="dxa" w:w="140"/>
            </w:tcMar>
          </w:tcPr>
          <w:p>
            <w:r>
              <w:rPr>
                <w:rFonts w:ascii="Georgia" w:cs="Georgia" w:eastAsia="Georgia" w:hAnsi="Georgia"/>
                <w:b/>
                <w:bCs/>
                <w:color w:val="3D2B1F"/>
                <w:sz w:val="20"/>
                <w:szCs w:val="20"/>
              </w:rPr>
              <w:t xml:space="preserve">Workforce Support</w:t>
            </w:r>
          </w:p>
        </w:tc>
        <w:tc>
          <w:tcPr>
            <w:tcW w:type="dxa" w:w="6560"/>
            <w:tcBorders>
              <w:top w:val="single" w:color="D5D0C8" w:sz="1"/>
              <w:left w:val="single" w:color="D5D0C8" w:sz="1"/>
              <w:bottom w:val="single" w:color="D5D0C8" w:sz="1"/>
              <w:right w:val="single" w:color="D5D0C8" w:sz="1"/>
            </w:tcBorders>
            <w:shd w:fill="F5F0E8" w:val="clear"/>
            <w:tcMar>
              <w:top w:type="dxa" w:w="100"/>
              <w:left w:type="dxa" w:w="140"/>
              <w:bottom w:type="dxa" w:w="100"/>
              <w:right w:type="dxa" w:w="140"/>
            </w:tcMar>
          </w:tcPr>
          <w:p>
            <w:pPr>
              <w:spacing w:line="280"/>
            </w:pPr>
            <w:r>
              <w:rPr>
                <w:rFonts w:ascii="Georgia" w:cs="Georgia" w:eastAsia="Georgia" w:hAnsi="Georgia"/>
                <w:color w:val="6D6155"/>
                <w:sz w:val="20"/>
                <w:szCs w:val="20"/>
              </w:rPr>
              <w:t xml:space="preserve">An estimated 23% of any workforce are hidden caregivers managing aging parent care alongside their jobs. For BCH’s approximately 2,500 employees, that could be over 500 staff. Our Caregiver Intensity Index can identify and support these individuals, reducing absenteeism and turnover among the very healthcare workers BCH invests in.</w:t>
            </w:r>
          </w:p>
        </w:tc>
      </w:tr>
    </w:tbl>
    <w:p>
      <w:pPr>
        <w:pStyle w:val="Heading1"/>
        <w:spacing w:before="400" w:after="160"/>
      </w:pPr>
      <w:r>
        <w:rPr>
          <w:rFonts w:ascii="Georgia" w:cs="Georgia" w:eastAsia="Georgia" w:hAnsi="Georgia"/>
          <w:b/>
          <w:bCs/>
          <w:color w:val="3D2B1F"/>
          <w:sz w:val="28"/>
          <w:szCs w:val="28"/>
        </w:rPr>
        <w:t xml:space="preserve">About the Founder</w:t>
      </w:r>
    </w:p>
    <w:p>
      <w:pPr>
        <w:spacing w:after="160" w:line="312"/>
      </w:pPr>
      <w:r>
        <w:rPr>
          <w:rFonts w:ascii="Georgia" w:cs="Georgia" w:eastAsia="Georgia" w:hAnsi="Georgia"/>
          <w:color w:val="3D2B1F"/>
          <w:sz w:val="22"/>
          <w:szCs w:val="22"/>
        </w:rPr>
        <w:t xml:space="preserve">I’m Blaine Warkentine, MD MPH — a fellowship-trained orthopedic surgeon with a Masters in Population Health from Thomas Jefferson University. I’ve spent over twenty years in healthcare technology, with five patents and multiple company exits. I founded co-op.care because the caregiving crisis is a systems problem, and systems problems need structural solutions — not just better apps.</w:t>
      </w:r>
    </w:p>
    <w:p>
      <w:pPr>
        <w:spacing w:after="160" w:line="312"/>
      </w:pPr>
      <w:r>
        <w:rPr>
          <w:rFonts w:ascii="Georgia" w:cs="Georgia" w:eastAsia="Georgia" w:hAnsi="Georgia"/>
          <w:color w:val="3D2B1F"/>
          <w:sz w:val="22"/>
          <w:szCs w:val="22"/>
        </w:rPr>
        <w:t xml:space="preserve">Our clinical governance model includes physician oversight from a Boulder-based hospitalist with deep roots in the BCH community. We’re incubated through the Rocky Mountain Employee Ownership Center (RMEOC) and are applying for the CMS ACCESS Model for chronic condition management by the April 1 deadline.</w:t>
      </w:r>
    </w:p>
    <w:p>
      <w:pPr>
        <w:pStyle w:val="Heading1"/>
        <w:spacing w:before="360" w:after="160"/>
      </w:pPr>
      <w:r>
        <w:rPr>
          <w:rFonts w:ascii="Georgia" w:cs="Georgia" w:eastAsia="Georgia" w:hAnsi="Georgia"/>
          <w:b/>
          <w:bCs/>
          <w:color w:val="3D2B1F"/>
          <w:sz w:val="28"/>
          <w:szCs w:val="28"/>
        </w:rPr>
        <w:t xml:space="preserve">What I’d Love to Explore Together</w:t>
      </w:r>
    </w:p>
    <w:p>
      <w:pPr>
        <w:spacing w:after="160" w:line="312"/>
      </w:pPr>
      <w:r>
        <w:rPr>
          <w:rFonts w:ascii="Georgia" w:cs="Georgia" w:eastAsia="Georgia" w:hAnsi="Georgia"/>
          <w:color w:val="3D2B1F"/>
          <w:sz w:val="22"/>
          <w:szCs w:val="22"/>
        </w:rPr>
        <w:t xml:space="preserve">I’m not coming with an ask. I’m coming with an alignment question: does what we’re building fit with where BCH Foundation is headed?</w:t>
      </w:r>
    </w:p>
    <w:p>
      <w:pPr>
        <w:spacing w:after="100" w:line="312"/>
      </w:pPr>
      <w:r>
        <w:rPr>
          <w:rFonts w:ascii="Georgia" w:cs="Georgia" w:eastAsia="Georgia" w:hAnsi="Georgia"/>
          <w:color w:val="3D2B1F"/>
          <w:sz w:val="22"/>
          <w:szCs w:val="22"/>
        </w:rPr>
        <w:t xml:space="preserve">Specifically, I’d love to discuss:</w:t>
      </w:r>
    </w:p>
    <w:p>
      <w:pPr>
        <w:pStyle w:val="ListParagraph"/>
        <w:numPr>
          <w:ilvl w:val="0"/>
          <w:numId w:val="3"/>
        </w:numPr>
        <w:spacing w:after="80" w:line="300"/>
      </w:pPr>
      <w:r>
        <w:rPr>
          <w:rFonts w:ascii="Georgia" w:cs="Georgia" w:eastAsia="Georgia" w:hAnsi="Georgia"/>
          <w:color w:val="3D2B1F"/>
          <w:sz w:val="22"/>
          <w:szCs w:val="22"/>
        </w:rPr>
        <w:t xml:space="preserve">Whether a small discharge coordination pilot could help BCH evaluate our model with real outcomes data</w:t>
      </w:r>
    </w:p>
    <w:p>
      <w:pPr>
        <w:pStyle w:val="ListParagraph"/>
        <w:numPr>
          <w:ilvl w:val="0"/>
          <w:numId w:val="3"/>
        </w:numPr>
        <w:spacing w:after="80" w:line="300"/>
      </w:pPr>
      <w:r>
        <w:rPr>
          <w:rFonts w:ascii="Georgia" w:cs="Georgia" w:eastAsia="Georgia" w:hAnsi="Georgia"/>
          <w:color w:val="3D2B1F"/>
          <w:sz w:val="22"/>
          <w:szCs w:val="22"/>
        </w:rPr>
        <w:t xml:space="preserve">How our community health and aging-in-place work might align with the Community Collaboration Fund’s priorities</w:t>
      </w:r>
    </w:p>
    <w:p>
      <w:pPr>
        <w:pStyle w:val="ListParagraph"/>
        <w:numPr>
          <w:ilvl w:val="0"/>
          <w:numId w:val="3"/>
        </w:numPr>
        <w:spacing w:after="160" w:line="300"/>
      </w:pPr>
      <w:r>
        <w:rPr>
          <w:rFonts w:ascii="Georgia" w:cs="Georgia" w:eastAsia="Georgia" w:hAnsi="Georgia"/>
          <w:color w:val="3D2B1F"/>
          <w:sz w:val="22"/>
          <w:szCs w:val="22"/>
        </w:rPr>
        <w:t xml:space="preserve">Whether supporting hidden caregivers within BCH’s own workforce is something the Foundation would be interested in exploring</w:t>
      </w:r>
    </w:p>
    <w:p>
      <w:pPr>
        <w:spacing w:after="160" w:line="312"/>
      </w:pPr>
      <w:r>
        <w:rPr>
          <w:rFonts w:ascii="Georgia" w:cs="Georgia" w:eastAsia="Georgia" w:hAnsi="Georgia"/>
          <w:color w:val="3D2B1F"/>
          <w:sz w:val="22"/>
          <w:szCs w:val="22"/>
        </w:rPr>
        <w:t xml:space="preserve">I’m looking forward to this conversation. BCH has been part of Boulder Valley for over a century. We’re building something we hope will be part of it for the next one.</w:t>
      </w:r>
    </w:p>
    <w:p>
      <w:pPr>
        <w:spacing w:before="160" w:after="40"/>
      </w:pPr>
    </w:p>
    <w:p>
      <w:pPr>
        <w:pBdr>
          <w:top w:val="single" w:color="2A7D6E" w:sz="2" w:space="12"/>
        </w:pBdr>
        <w:spacing w:after="200"/>
      </w:pPr>
    </w:p>
    <w:p>
      <w:pPr>
        <w:spacing w:after="20"/>
      </w:pPr>
      <w:r>
        <w:rPr>
          <w:rFonts w:ascii="Georgia" w:cs="Georgia" w:eastAsia="Georgia" w:hAnsi="Georgia"/>
          <w:b/>
          <w:bCs/>
          <w:color w:val="3D2B1F"/>
          <w:sz w:val="22"/>
          <w:szCs w:val="22"/>
        </w:rPr>
        <w:t xml:space="preserve">Blaine Warkentine, MD MPH</w:t>
      </w:r>
    </w:p>
    <w:p>
      <w:pPr>
        <w:spacing w:after="20"/>
      </w:pPr>
      <w:r>
        <w:rPr>
          <w:rFonts w:ascii="Georgia" w:cs="Georgia" w:eastAsia="Georgia" w:hAnsi="Georgia"/>
          <w:color w:val="2A7D6E"/>
          <w:sz w:val="20"/>
          <w:szCs w:val="20"/>
        </w:rPr>
        <w:t xml:space="preserve">Founder, co-op.care</w:t>
      </w:r>
    </w:p>
    <w:p>
      <w:pPr>
        <w:spacing w:after="20"/>
      </w:pPr>
      <w:r>
        <w:rPr>
          <w:rFonts w:ascii="Georgia" w:cs="Georgia" w:eastAsia="Georgia" w:hAnsi="Georgia"/>
          <w:color w:val="6D6155"/>
          <w:sz w:val="20"/>
          <w:szCs w:val="20"/>
        </w:rPr>
        <w:t xml:space="preserve">blaine@co-op.care</w:t>
      </w:r>
    </w:p>
    <w:p>
      <w:pPr>
        <w:spacing w:after="20"/>
      </w:pPr>
      <w:r>
        <w:rPr>
          <w:rFonts w:ascii="Georgia" w:cs="Georgia" w:eastAsia="Georgia" w:hAnsi="Georgia"/>
          <w:color w:val="6D6155"/>
          <w:sz w:val="20"/>
          <w:szCs w:val="20"/>
        </w:rPr>
        <w:t xml:space="preserve">Boulder, Colorado</w:t>
      </w:r>
    </w:p>
    <w:sectPr>
      <w:headerReference w:type="default" r:id="rId6"/>
      <w:footerReference w:type="default" r:id="rId7"/>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0C8" w:sz="1" w:space="6"/>
      </w:pBdr>
      <w:jc w:val="center"/>
    </w:pPr>
    <w:r>
      <w:rPr>
        <w:rFonts w:ascii="Georgia" w:cs="Georgia" w:eastAsia="Georgia" w:hAnsi="Georgia"/>
        <w:color w:val="6D6155"/>
        <w:sz w:val="16"/>
        <w:szCs w:val="16"/>
      </w:rPr>
      <w:t xml:space="preserve">Blaine Warkentine, MD MPH  ·  Founder  ·  blaine@co-op.care  ·  Boulder, Colorado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D6E" w:sz="2" w:space="6"/>
      </w:pBdr>
      <w:spacing w:after="200"/>
    </w:pPr>
    <w:r>
      <w:rPr>
        <w:rFonts w:ascii="Georgia" w:cs="Georgia" w:eastAsia="Georgia" w:hAnsi="Georgia"/>
        <w:b/>
        <w:bCs/>
        <w:color w:val="2A7D6E"/>
        <w:sz w:val="22"/>
        <w:szCs w:val="22"/>
      </w:rPr>
      <w:t xml:space="preserve">co-op.care</w:t>
    </w:r>
    <w:r>
      <w:rPr>
        <w:rFonts w:ascii="Georgia" w:cs="Georgia" w:eastAsia="Georgia" w:hAnsi="Georgia"/>
        <w:color w:val="6D6155"/>
        <w:sz w:val="18"/>
        <w:szCs w:val="18"/>
      </w:rPr>
      <w:t xml:space="preserve">  ·  Worker-Owned Home Care for Boulder Valley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Georgia" w:cs="Georgia" w:eastAsia="Georgia" w:hAnsi="Georgia"/>
      <w:b/>
      <w:bCs/>
      <w:color w:val="3D2B1F"/>
      <w:sz w:val="28"/>
      <w:szCs w:val="28"/>
    </w:rPr>
  </w:style>
  <w:style w:type="paragraph" w:styleId="Heading2">
    <w:name w:val="Heading 2"/>
    <w:basedOn w:val="Normal"/>
    <w:next w:val="Normal"/>
    <w:qFormat/>
    <w:pPr>
      <w:spacing w:before="240" w:after="120"/>
      <w:outlineLvl w:val="1"/>
    </w:pPr>
    <w:rPr>
      <w:rFonts w:ascii="Georgia" w:cs="Georgia" w:eastAsia="Georgia" w:hAnsi="Georgia"/>
      <w:b/>
      <w:bCs/>
      <w:color w:val="2A7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2026-03-04T17:25:26.631Z</dcterms:created>
  <dcterms:modified xsi:type="dcterms:W3CDTF">2026-03-04T17:25:26.631Z</dcterms:modified>
</cp:coreProperties>
</file>

<file path=docProps/custom.xml><?xml version="1.0" encoding="utf-8"?>
<Properties xmlns="http://schemas.openxmlformats.org/officeDocument/2006/custom-properties" xmlns:vt="http://schemas.openxmlformats.org/officeDocument/2006/docPropsVTypes"/>
</file>