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Georgia" w:cs="Georgia" w:eastAsia="Georgia" w:hAnsi="Georgia"/>
          <w:b/>
          <w:bCs/>
          <w:color w:val="0F1B2D"/>
          <w:sz w:val="40"/>
          <w:szCs w:val="40"/>
        </w:rPr>
        <w:t xml:space="preserve">co-op.care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 Seed Investment  |  March 2026</w:t>
      </w:r>
    </w:p>
    <w:p>
      <w:pPr>
        <w:spacing w:after="40"/>
      </w:pPr>
      <w:r>
        <w:rPr>
          <w:color w:val="028090"/>
          <w:sz w:val="18"/>
          <w:szCs w:val="18"/>
        </w:rPr>
        <w:t xml:space="preserve">Worker-Owned Home Care  •  Community-Backed Insurance  •  Boulder, Colorado</w:t>
      </w:r>
    </w:p>
    <w:p>
      <w:pPr>
        <w:pBdr>
          <w:bottom w:val="single" w:color="028090" w:sz="6" w:space="1"/>
        </w:pBdr>
        <w:spacing w:after="120"/>
      </w:pPr>
    </w:p>
    <w:p>
      <w:pPr>
        <w:pStyle w:val="Heading2"/>
      </w:pPr>
      <w:r>
        <w:t xml:space="preserve">THE OPPORTUNITY</w:t>
      </w:r>
    </w:p>
    <w:p>
      <w:pPr>
        <w:spacing w:after="80"/>
      </w:pPr>
      <w:r>
        <w:rPr>
          <w:sz w:val="19"/>
          <w:szCs w:val="19"/>
        </w:rPr>
        <w:t xml:space="preserve">Home care is a $100B+ market structurally broken by private equity extraction. </w:t>
      </w:r>
      <w:r>
        <w:rPr>
          <w:b/>
          <w:bCs/>
          <w:sz w:val="19"/>
          <w:szCs w:val="19"/>
        </w:rPr>
        <w:t xml:space="preserve">77% annual caregiver turnover</w:t>
      </w:r>
      <w:r>
        <w:rPr>
          <w:sz w:val="19"/>
          <w:szCs w:val="19"/>
        </w:rPr>
        <w:t xml:space="preserve">, $9,900/month nursing home costs, and 53M+ unpaid family caregivers. </w:t>
      </w:r>
      <w:r>
        <w:rPr>
          <w:sz w:val="19"/>
          <w:szCs w:val="19"/>
        </w:rPr>
        <w:t xml:space="preserve">co-op.care is a worker-owned cooperative that eliminates extraction, pays caregivers $25–28/hr (vs. $16.78 industry median), and uses a blended Time Bank model to cut family costs by 44%.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28090"/>
                <w:sz w:val="28"/>
                <w:szCs w:val="28"/>
              </w:rPr>
              <w:t xml:space="preserve">$14,560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Annual family savings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28090"/>
                <w:sz w:val="28"/>
                <w:szCs w:val="28"/>
              </w:rPr>
              <w:t xml:space="preserve">$52K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Caregiver equity (5yr)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28090"/>
                <w:sz w:val="28"/>
                <w:szCs w:val="28"/>
              </w:rPr>
              <w:t xml:space="preserve">44%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Cost reduction vs. agency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28090"/>
                <w:sz w:val="28"/>
                <w:szCs w:val="28"/>
              </w:rPr>
              <w:t xml:space="preserve">5%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AI exposure (AI-proof jobs)</w:t>
            </w:r>
          </w:p>
        </w:tc>
      </w:tr>
    </w:tbl>
    <w:p>
      <w:pPr>
        <w:pStyle w:val="Heading2"/>
      </w:pPr>
      <w:r>
        <w:t xml:space="preserve">10-LAYER REVENUE STACK</w:t>
      </w:r>
    </w:p>
    <w:p>
      <w:pPr>
        <w:spacing w:after="80"/>
      </w:pPr>
      <w:r>
        <w:rPr>
          <w:b/>
          <w:bCs/>
          <w:sz w:val="19"/>
          <w:szCs w:val="19"/>
        </w:rPr>
        <w:t xml:space="preserve">Core Revenue (Layers 1–6, high confidence): </w:t>
      </w:r>
      <w:r>
        <w:rPr>
          <w:sz w:val="19"/>
          <w:szCs w:val="19"/>
        </w:rPr>
        <w:t xml:space="preserve">Private pay ($35/hr), memberships ($0–$149/mo), clinical assessments ($150–$300), Medicare CHI/PIN ($85–$120 PBPM), hospital retainers, employer benefits ($3–6 PEPM). </w:t>
      </w:r>
      <w:r>
        <w:rPr>
          <w:b/>
          <w:bCs/>
          <w:sz w:val="19"/>
          <w:szCs w:val="19"/>
        </w:rPr>
        <w:t xml:space="preserve">Year 3 core projection: $2.6M. </w:t>
      </w:r>
      <w:r>
        <w:rPr>
          <w:b/>
          <w:bCs/>
          <w:sz w:val="19"/>
          <w:szCs w:val="19"/>
        </w:rPr>
        <w:t xml:space="preserve">Upside Revenue (Layers 7–10): </w:t>
      </w:r>
      <w:r>
        <w:rPr>
          <w:sz w:val="19"/>
          <w:szCs w:val="19"/>
        </w:rPr>
        <w:t xml:space="preserve">CMS ACCESS OAPs, MAHA ELEVATE grants, LEAD shared savings, Age at Home insurance premiums. Year 3 full scenario: $4.1M.</w:t>
      </w:r>
    </w:p>
    <w:p>
      <w:pPr>
        <w:pStyle w:val="Heading2"/>
      </w:pPr>
      <w:r>
        <w:t xml:space="preserve">STRUCTURAL MOAT &amp; CLINICAL TRUST</w:t>
      </w:r>
    </w:p>
    <w:p>
      <w:pPr>
        <w:spacing w:after="40"/>
      </w:pPr>
      <w:r>
        <w:rPr>
          <w:b/>
          <w:bCs/>
          <w:sz w:val="19"/>
          <w:szCs w:val="19"/>
        </w:rPr>
        <w:t xml:space="preserve">Worker ownership = can’t be acquired or flipped. </w:t>
      </w:r>
      <w:r>
        <w:rPr>
          <w:sz w:val="19"/>
          <w:szCs w:val="19"/>
        </w:rPr>
        <w:t xml:space="preserve">Community embeddedness (BCH, BVSD, Elevations CU) creates trust web no tech startup can replicate. Five-Layer Trust Stack: Reality.check AI validation (Automate Clinic), Graduated Autonomy protocol, $25M Beazley/Lloyd’s coverage, Armilla/Swiss Re AI warranty, democratic cooperative governance. </w:t>
      </w:r>
      <w:r>
        <w:rPr>
          <w:sz w:val="19"/>
          <w:szCs w:val="19"/>
        </w:rPr>
        <w:t xml:space="preserve">Medical Director (Dr. Josh Emdur, DO) unlocks Medicare enrollment, HSA eligibility (28–36% family tax savings), and CMS innovation model applications.</w:t>
      </w:r>
    </w:p>
    <w:p>
      <w:pPr>
        <w:pStyle w:val="Heading2"/>
      </w:pPr>
      <w:r>
        <w:t xml:space="preserve">TEAM</w:t>
      </w:r>
    </w:p>
    <w:p>
      <w:pPr>
        <w:spacing w:after="40"/>
      </w:pPr>
      <w:r>
        <w:rPr>
          <w:b/>
          <w:bCs/>
          <w:sz w:val="19"/>
          <w:szCs w:val="19"/>
        </w:rPr>
        <w:t xml:space="preserve">Blaine Warkentine, MD </w:t>
      </w:r>
      <w:r>
        <w:rPr>
          <w:sz w:val="19"/>
          <w:szCs w:val="19"/>
        </w:rPr>
        <w:t xml:space="preserve">— Co-Founder &amp; CEO. Orthopedic surgeon, 3 strategic exits (HCA, Paragon 28, Anytime Fitness), grew BrainLAB ortho vertical to $250M, 5 patents. </w:t>
      </w:r>
      <w:r>
        <w:rPr>
          <w:b/>
          <w:bCs/>
          <w:sz w:val="19"/>
          <w:szCs w:val="19"/>
        </w:rPr>
        <w:t xml:space="preserve">Josh Emdur, DO </w:t>
      </w:r>
      <w:r>
        <w:rPr>
          <w:sz w:val="19"/>
          <w:szCs w:val="19"/>
        </w:rPr>
        <w:t xml:space="preserve">— Co-Founder &amp; Medical Director. 50-state licensed, BCH hospitalist since 2008, CMO Automate Clinic.</w:t>
      </w:r>
    </w:p>
    <w:p>
      <w:pPr>
        <w:pStyle w:val="Heading2"/>
      </w:pPr>
      <w:r>
        <w:t xml:space="preserve">THE ASK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1B2D"/>
                <w:sz w:val="24"/>
                <w:szCs w:val="24"/>
              </w:rPr>
              <w:t xml:space="preserve">$50–100K Seed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Convertible Note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1B2D"/>
                <w:sz w:val="24"/>
                <w:szCs w:val="24"/>
              </w:rPr>
              <w:t xml:space="preserve">200 Families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Founding member target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1B2D"/>
                <w:sz w:val="24"/>
                <w:szCs w:val="24"/>
              </w:rPr>
              <w:t xml:space="preserve">Q2 2026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First revenue (assessments)</w:t>
            </w:r>
          </w:p>
        </w:tc>
      </w:tr>
    </w:tbl>
    <w:p>
      <w:pPr>
        <w:spacing w:before="80" w:after="40"/>
      </w:pPr>
      <w:r>
        <w:rPr>
          <w:b/>
          <w:bCs/>
          <w:color w:val="0F1B2D"/>
          <w:sz w:val="18"/>
          <w:szCs w:val="18"/>
        </w:rPr>
        <w:t xml:space="preserve">Use of funds: </w:t>
      </w:r>
      <w:r>
        <w:rPr>
          <w:color w:val="666666"/>
          <w:sz w:val="18"/>
          <w:szCs w:val="18"/>
        </w:rPr>
        <w:t xml:space="preserve">CDPHE licensure (25%), CareOS development (30%), insurance premiums (15%), first 10 W-2 caregiver hires (20%), community launch (10%).</w:t>
      </w:r>
    </w:p>
    <w:p>
      <w:pPr>
        <w:pBdr>
          <w:bottom w:val="single" w:color="028090" w:sz="4" w:space="1"/>
        </w:pBdr>
        <w:spacing w:after="60"/>
      </w:pPr>
    </w:p>
    <w:p>
      <w:pPr>
        <w:spacing w:after="0"/>
      </w:pPr>
      <w:r>
        <w:rPr>
          <w:b/>
          <w:bCs/>
          <w:color w:val="0F1B2D"/>
          <w:sz w:val="18"/>
          <w:szCs w:val="18"/>
        </w:rPr>
        <w:t xml:space="preserve">Blaine Warkentine, MD  </w:t>
      </w:r>
      <w:r>
        <w:rPr>
          <w:color w:val="666666"/>
          <w:sz w:val="18"/>
          <w:szCs w:val="18"/>
        </w:rPr>
        <w:t xml:space="preserve">|  blaine@co-op.care  |  484-684-5287  |  co-op.care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80"/>
    </w:pPr>
    <w:rPr>
      <w:rFonts w:ascii="Georgia" w:cs="Georgia" w:eastAsia="Georgia" w:hAnsi="Georgia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40"/>
    </w:pPr>
    <w:rPr>
      <w:rFonts w:ascii="Calibri" w:cs="Calibri" w:eastAsia="Calibri" w:hAnsi="Calibri"/>
      <w:b/>
      <w:bCs/>
      <w:color w:val="028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2026-03-07T19:41:19.983Z</dcterms:created>
  <dcterms:modified xsi:type="dcterms:W3CDTF">2026-03-07T19:41:19.984Z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