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b/>
          <w:bCs/>
          <w:color w:val="1B2A4A"/>
          <w:sz w:val="72"/>
          <w:szCs w:val="72"/>
        </w:rPr>
        <w:t xml:space="preserve">co-op.care</w:t>
      </w:r>
    </w:p>
    <w:p>
      <w:pPr>
        <w:spacing w:after="60"/>
        <w:jc w:val="center"/>
      </w:pPr>
      <w:r>
        <w:rPr>
          <w:b/>
          <w:bCs/>
          <w:color w:val="C4943D"/>
          <w:sz w:val="36"/>
          <w:szCs w:val="36"/>
        </w:rPr>
        <w:t xml:space="preserve">TECHNOLOGIES LLC</w:t>
      </w:r>
    </w:p>
    <w:p>
      <w:pPr>
        <w:pBdr>
          <w:bottom w:val="single" w:color="1B2A4A" w:sz="6" w:space="20"/>
        </w:pBdr>
        <w:spacing w:after="400"/>
        <w:jc w:val="center"/>
      </w:pPr>
      <w:r>
        <w:rPr>
          <w:color w:val="333333"/>
          <w:sz w:val="28"/>
          <w:szCs w:val="28"/>
        </w:rPr>
        <w:t xml:space="preserve">Platform Architecture &amp; Federal Payment Rail Integration</w:t>
      </w:r>
    </w:p>
    <w:p>
      <w:pPr>
        <w:spacing w:before="200"/>
      </w:pPr>
    </w:p>
    <w:p>
      <w:pPr>
        <w:spacing w:after="60"/>
        <w:jc w:val="center"/>
      </w:pPr>
      <w:r>
        <w:rPr>
          <w:color w:val="7F8C8D"/>
          <w:sz w:val="24"/>
          <w:szCs w:val="24"/>
        </w:rPr>
        <w:t xml:space="preserve">Prepared for: Jacob / Cohesion</w:t>
      </w:r>
    </w:p>
    <w:p>
      <w:pPr>
        <w:spacing w:after="60"/>
        <w:jc w:val="center"/>
      </w:pPr>
      <w:r>
        <w:rPr>
          <w:color w:val="7F8C8D"/>
          <w:sz w:val="24"/>
          <w:szCs w:val="24"/>
        </w:rPr>
        <w:t xml:space="preserve">Author: Blaine Armey, Founder</w:t>
      </w:r>
    </w:p>
    <w:p>
      <w:pPr>
        <w:spacing w:after="60"/>
        <w:jc w:val="center"/>
      </w:pPr>
      <w:r>
        <w:rPr>
          <w:color w:val="7F8C8D"/>
          <w:sz w:val="24"/>
          <w:szCs w:val="24"/>
        </w:rPr>
        <w:t xml:space="preserve">Date: February 26, 2026</w:t>
      </w:r>
    </w:p>
    <w:p>
      <w:pPr>
        <w:spacing w:after="60"/>
        <w:jc w:val="center"/>
      </w:pPr>
      <w:r>
        <w:rPr>
          <w:color w:val="7F8C8D"/>
          <w:sz w:val="24"/>
          <w:szCs w:val="24"/>
        </w:rPr>
        <w:t xml:space="preserve">Version: 1.0  |  Classification: Confidential</w:t>
      </w:r>
    </w:p>
    <w:p>
      <w:r>
        <w:br w:type="page"/>
      </w:r>
    </w:p>
    <w:p>
      <w:pPr>
        <w:spacing w:after="300"/>
      </w:pPr>
      <w:r>
        <w:rPr>
          <w:b/>
          <w:bCs/>
          <w:color w:val="1B2A4A"/>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Architecture Overview</w:t>
      </w:r>
    </w:p>
    <w:p>
      <w:pPr>
        <w:spacing w:after="120" w:line="276"/>
      </w:pPr>
      <w:r>
        <w:rPr>
          <w:sz w:val="22"/>
          <w:szCs w:val="22"/>
        </w:rPr>
        <w:t xml:space="preserve">co-op.care is a federated cooperative healthcare system. It is not a single application, not a single entity, and not a single revenue stream. It is a platform that coordinates care delivery across independent worker-owned cooperatives, routes clinical data through multiple federal payment programs simultaneously, and generates structured health intelligence that compounds in value over time.</w:t>
      </w:r>
    </w:p>
    <w:p>
      <w:pPr>
        <w:spacing w:after="120" w:line="276"/>
      </w:pPr>
      <w:r>
        <w:rPr>
          <w:sz w:val="22"/>
          <w:szCs w:val="22"/>
        </w:rPr>
        <w:t xml:space="preserve">This document is the technical foundation for everything Cohesion builds. It serves three purposes: (1) the engineering specification for Phase 1 infrastructure, (2) the technical narrative for the CMS ACCESS Model application due April 1, 2026, and (3) the long-term architecture blueprint that governs every technical decision through 2036.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5FB" w:val="clear"/>
            <w:tcMar>
              <w:top w:type="dxa" w:w="120"/>
              <w:left w:type="dxa" w:w="200"/>
              <w:bottom w:type="dxa" w:w="120"/>
              <w:right w:type="dxa" w:w="200"/>
            </w:tcMar>
          </w:tcPr>
          <w:p>
            <w:r>
              <w:rPr>
                <w:i/>
                <w:iCs/>
                <w:color w:val="1B2A4A"/>
                <w:sz w:val="22"/>
                <w:szCs w:val="22"/>
              </w:rPr>
              <w:t xml:space="preserve">The core insight: a single clinical event — a caregiver visiting a patient, documented through CareOS — generates data that simultaneously satisfies ACCESS outcome reporting, ACO REACH/LEAD quality measures, PACE encounter documentation, FFS claims, and private-pay invoicing. The architecture must be designed to capture once, route many.</w:t>
            </w:r>
          </w:p>
        </w:tc>
      </w:tr>
    </w:tbl>
    <w:p>
      <w:pPr>
        <w:pStyle w:val="Heading2"/>
      </w:pPr>
      <w:r>
        <w:t xml:space="preserve">1.1 The Three-Layer Federation</w:t>
      </w:r>
    </w:p>
    <w:p>
      <w:pPr>
        <w:spacing w:after="120" w:line="276"/>
      </w:pPr>
      <w:r>
        <w:rPr>
          <w:sz w:val="22"/>
          <w:szCs w:val="22"/>
        </w:rPr>
        <w:t xml:space="preserve">The federated structure separates concerns that would create structural contradictions if combined in a single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560"/>
        <w:gridCol w:w="18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Entity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Function</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Owns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Risk Profile</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co-op.care Technologies LLC</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Platform, IP, payer contracts, AI/ML</w:t>
            </w:r>
          </w:p>
        </w:tc>
        <w:tc>
          <w:tcPr>
            <w:tcW w:type="dxa" w:w="2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CareOS, FHIR server, bailey SDK integration, all IP</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Technology &amp; contracting risk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co-op.care [City] Cooperative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Care delivery, employment, clinical operations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Nothing — licenses platform from LLC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Clinical liability, employment risk</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co-op.care Federation</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Quality standards, training, shared purchasing, governance</w:t>
            </w:r>
          </w:p>
        </w:tc>
        <w:tc>
          <w:tcPr>
            <w:tcW w:type="dxa" w:w="2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Federation agreements, brand standards</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Reputational, coordination risk</w:t>
            </w:r>
          </w:p>
        </w:tc>
      </w:tr>
    </w:tbl>
    <w:p>
      <w:pPr>
        <w:spacing w:before="100"/>
      </w:pPr>
    </w:p>
    <w:p>
      <w:pPr>
        <w:spacing w:after="120" w:line="276"/>
      </w:pPr>
      <w:r>
        <w:rPr>
          <w:sz w:val="22"/>
          <w:szCs w:val="22"/>
        </w:rPr>
        <w:t xml:space="preserve">This is the Mondragon model applied to home care. Mondragon Corporation (~95 cooperatives, 70,000+ worker-owners, €12B revenue) has operated this exact architecture for 80 years. The corporation holds shared infrastructure. Individual cooperatives deliver the work and own themselves. Shared institutions (banking, insurance, training) serve the network.</w:t>
      </w:r>
    </w:p>
    <w:p>
      <w:pPr>
        <w:spacing w:after="120" w:line="276"/>
      </w:pPr>
      <w:r>
        <w:rPr>
          <w:b/>
          <w:bCs/>
          <w:sz w:val="22"/>
          <w:szCs w:val="22"/>
        </w:rPr>
        <w:t xml:space="preserve">For Jacob: </w:t>
      </w:r>
      <w:r>
        <w:rPr>
          <w:sz w:val="22"/>
          <w:szCs w:val="22"/>
        </w:rPr>
        <w:t xml:space="preserve">Layer 1 is what you build. Layer 2 is what consumes it. Layer 3 is what governs the relationship. Every architectural decision in Phase 1 must account for the fact that this platform will serve multiple independent cooperatives with isolated PHI, shared de-identified analytics, and per-cooperative financial backends.</w:t>
      </w:r>
    </w:p>
    <w:p>
      <w:r>
        <w:br w:type="page"/>
      </w:r>
    </w:p>
    <w:p>
      <w:pPr>
        <w:pStyle w:val="Heading1"/>
      </w:pPr>
      <w:r>
        <w:t xml:space="preserve">2. The Five Federal Payment Rails</w:t>
      </w:r>
    </w:p>
    <w:p>
      <w:pPr>
        <w:spacing w:after="120" w:line="276"/>
      </w:pPr>
      <w:r>
        <w:rPr>
          <w:sz w:val="22"/>
          <w:szCs w:val="22"/>
        </w:rPr>
        <w:t xml:space="preserve">The platform does not depend on a single payer. It stacks five distinct federal and commercial payment mechanisms on top of the same patient population and the same clinical data infrastructure. This is the economic engine that makes the cooperative model self-sustaining without venture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5FB" w:val="clear"/>
            <w:tcMar>
              <w:top w:type="dxa" w:w="120"/>
              <w:left w:type="dxa" w:w="200"/>
              <w:bottom w:type="dxa" w:w="120"/>
              <w:right w:type="dxa" w:w="200"/>
            </w:tcMar>
          </w:tcPr>
          <w:p>
            <w:r>
              <w:rPr>
                <w:i/>
                <w:iCs/>
                <w:color w:val="1B2A4A"/>
                <w:sz w:val="22"/>
                <w:szCs w:val="22"/>
              </w:rPr>
              <w:t xml:space="preserve">Architecture principle: Capture once, route many. One caregiver visit, documented once through CareOS voice AI and coded to the Omaha System, must generate billable events across all applicable payment rails simultaneously.</w:t>
            </w:r>
          </w:p>
        </w:tc>
      </w:tr>
    </w:tbl>
    <w:p>
      <w:pPr>
        <w:pStyle w:val="Heading2"/>
      </w:pPr>
      <w:r>
        <w:t xml:space="preserve">2.1 Rail 1: ACCESS Model (CMS Innovation Center)</w:t>
      </w:r>
    </w:p>
    <w:p>
      <w:pPr>
        <w:spacing w:after="120" w:line="276"/>
      </w:pPr>
      <w:r>
        <w:rPr>
          <w:b/>
          <w:bCs/>
          <w:sz w:val="22"/>
          <w:szCs w:val="22"/>
        </w:rPr>
        <w:t xml:space="preserve">Application deadline: April 1, 2026. </w:t>
      </w:r>
      <w:r>
        <w:rPr>
          <w:sz w:val="22"/>
          <w:szCs w:val="22"/>
        </w:rPr>
        <w:t xml:space="preserve">Cohort 1 launch: July 5, 2026. Duration: 10 years.</w:t>
      </w:r>
    </w:p>
    <w:p>
      <w:pPr>
        <w:spacing w:after="120" w:line="276"/>
      </w:pPr>
      <w:r>
        <w:rPr>
          <w:sz w:val="22"/>
          <w:szCs w:val="22"/>
        </w:rPr>
        <w:t xml:space="preserve">The Technologies LLC applies as an ACCESS Management Organization (AMO). ACCESS creates Outcome-Aligned Payments (OAPs) for chronic care coordination — a new federal payment rail that rewards prevention and maintenance rather than acute intervention.</w:t>
      </w:r>
    </w:p>
    <w:p>
      <w:pPr>
        <w:spacing w:before="200" w:after="100"/>
      </w:pPr>
      <w:r>
        <w:rPr>
          <w:rFonts w:ascii="Arial" w:cs="Arial" w:eastAsia="Arial" w:hAnsi="Arial"/>
          <w:b/>
          <w:bCs/>
          <w:color w:val="1B2A4A"/>
          <w:sz w:val="24"/>
          <w:szCs w:val="24"/>
        </w:rPr>
        <w:t xml:space="preserve">Track Selection</w:t>
      </w:r>
    </w:p>
    <w:p>
      <w:pPr>
        <w:pStyle w:val="ListParagraph"/>
        <w:numPr>
          <w:ilvl w:val="0"/>
          <w:numId w:val="2"/>
        </w:numPr>
        <w:spacing w:after="60" w:line="276"/>
      </w:pPr>
      <w:r>
        <w:rPr>
          <w:b/>
          <w:bCs/>
          <w:sz w:val="22"/>
          <w:szCs w:val="22"/>
        </w:rPr>
        <w:t xml:space="preserve">eCKM Track: </w:t>
      </w:r>
      <w:r>
        <w:rPr>
          <w:sz w:val="22"/>
          <w:szCs w:val="22"/>
        </w:rPr>
        <w:t xml:space="preserve">Enhanced Chronic Kidney Management covering hypertension, diabetes, obesity. These are the chronic conditions in the aging parents of our member families. OAPs of $15–$35/month per patient for care maintenance.</w:t>
      </w:r>
    </w:p>
    <w:p>
      <w:pPr>
        <w:pStyle w:val="ListParagraph"/>
        <w:numPr>
          <w:ilvl w:val="0"/>
          <w:numId w:val="2"/>
        </w:numPr>
        <w:spacing w:after="60" w:line="276"/>
      </w:pPr>
      <w:r>
        <w:rPr>
          <w:b/>
          <w:bCs/>
          <w:sz w:val="22"/>
          <w:szCs w:val="22"/>
        </w:rPr>
        <w:t xml:space="preserve">Joint Coach Track: </w:t>
      </w:r>
      <w:r>
        <w:rPr>
          <w:sz w:val="22"/>
          <w:szCs w:val="22"/>
        </w:rPr>
        <w:t xml:space="preserve">MSK care coordination for post-surgical and chronic musculoskeletal conditions. Directly aligned with founder’s orthopedic background and clinical network.</w:t>
      </w:r>
    </w:p>
    <w:p>
      <w:pPr>
        <w:spacing w:before="200" w:after="100"/>
      </w:pPr>
      <w:r>
        <w:rPr>
          <w:rFonts w:ascii="Arial" w:cs="Arial" w:eastAsia="Arial" w:hAnsi="Arial"/>
          <w:b/>
          <w:bCs/>
          <w:color w:val="1B2A4A"/>
          <w:sz w:val="24"/>
          <w:szCs w:val="24"/>
        </w:rPr>
        <w:t xml:space="preserve">Architecture Requirements for ACCESS</w:t>
      </w:r>
    </w:p>
    <w:p>
      <w:pPr>
        <w:pStyle w:val="ListParagraph"/>
        <w:numPr>
          <w:ilvl w:val="0"/>
          <w:numId w:val="2"/>
        </w:numPr>
        <w:spacing w:after="60" w:line="276"/>
      </w:pPr>
      <w:r>
        <w:rPr>
          <w:sz w:val="22"/>
          <w:szCs w:val="22"/>
        </w:rPr>
        <w:t xml:space="preserve">Outcome Attainment Threshold (OAT) reporting engine: the platform must track whether each patient meets CMS-defined outcome benchmarks and generate compliance reports</w:t>
      </w:r>
    </w:p>
    <w:p>
      <w:pPr>
        <w:pStyle w:val="ListParagraph"/>
        <w:numPr>
          <w:ilvl w:val="0"/>
          <w:numId w:val="2"/>
        </w:numPr>
        <w:spacing w:after="60" w:line="276"/>
      </w:pPr>
      <w:r>
        <w:rPr>
          <w:sz w:val="22"/>
          <w:szCs w:val="22"/>
        </w:rPr>
        <w:t xml:space="preserve">OAP billing pipeline: generate and submit claims for Outcome-Aligned Payments through the CMS Innovation Center billing system</w:t>
      </w:r>
    </w:p>
    <w:p>
      <w:pPr>
        <w:pStyle w:val="ListParagraph"/>
        <w:numPr>
          <w:ilvl w:val="0"/>
          <w:numId w:val="2"/>
        </w:numPr>
        <w:spacing w:after="60" w:line="276"/>
      </w:pPr>
      <w:r>
        <w:rPr>
          <w:sz w:val="22"/>
          <w:szCs w:val="22"/>
        </w:rPr>
        <w:t xml:space="preserve">Care Maintenance tier documentation: structured proof that patients graduated from CCM/RPM programs remain stable under cooperative care</w:t>
      </w:r>
    </w:p>
    <w:p>
      <w:pPr>
        <w:pStyle w:val="ListParagraph"/>
        <w:numPr>
          <w:ilvl w:val="0"/>
          <w:numId w:val="2"/>
        </w:numPr>
        <w:spacing w:after="60" w:line="276"/>
      </w:pPr>
      <w:r>
        <w:rPr>
          <w:sz w:val="22"/>
          <w:szCs w:val="22"/>
        </w:rPr>
        <w:t xml:space="preserve">Clinical coding automation: Omaha System codes mapped to ACCESS-required quality measures via NLP pipeline</w:t>
      </w:r>
    </w:p>
    <w:p>
      <w:pPr>
        <w:spacing w:before="200" w:after="100"/>
      </w:pPr>
      <w:r>
        <w:rPr>
          <w:rFonts w:ascii="Arial" w:cs="Arial" w:eastAsia="Arial" w:hAnsi="Arial"/>
          <w:b/>
          <w:bCs/>
          <w:color w:val="1B2A4A"/>
          <w:sz w:val="24"/>
          <w:szCs w:val="24"/>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Component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Per Patient/Month</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Year 1 Patients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Annual Revenue</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eCKM OAPs</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$15–$35</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80–120</w:t>
            </w:r>
          </w:p>
        </w:tc>
        <w:tc>
          <w:tcPr>
            <w:tcW w:type="dxa" w:w="2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$14,400–$50,400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Joint Coach OAPs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$20–$40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40–60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$9,600–$28,800</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333333"/>
                <w:sz w:val="18"/>
                <w:szCs w:val="18"/>
              </w:rPr>
              <w:t xml:space="preserve">ACCESS Total (Year 1)</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
            </w:r>
          </w:p>
        </w:tc>
        <w:tc>
          <w:tcPr>
            <w:tcW w:type="dxa" w:w="2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333333"/>
                <w:sz w:val="18"/>
                <w:szCs w:val="18"/>
              </w:rPr>
              <w:t xml:space="preserve">$24,000–$79,200</w:t>
            </w:r>
          </w:p>
        </w:tc>
      </w:tr>
    </w:tbl>
    <w:p>
      <w:pPr>
        <w:spacing w:before="100"/>
      </w:pPr>
    </w:p>
    <w:p>
      <w:pPr>
        <w:spacing w:after="120" w:line="276"/>
      </w:pPr>
      <w:r>
        <w:rPr>
          <w:sz w:val="22"/>
          <w:szCs w:val="22"/>
        </w:rPr>
        <w:t xml:space="preserve">ACCESS revenue is thin individually but strategically critical: it validates the model for CMS, generates the clinical data that powers LEAD shared savings, and satisfies the outcome reporting that proves actuarial viability for the captive insurance pathway.</w:t>
      </w:r>
    </w:p>
    <w:p>
      <w:r>
        <w:br w:type="page"/>
      </w:r>
    </w:p>
    <w:p>
      <w:pPr>
        <w:pStyle w:val="Heading2"/>
      </w:pPr>
      <w:r>
        <w:t xml:space="preserve">2.2 Rail 2: PIN/CHI Fee-for-Service (Through BCH Partnership)</w:t>
      </w:r>
    </w:p>
    <w:p>
      <w:pPr>
        <w:spacing w:after="120" w:line="276"/>
      </w:pPr>
      <w:r>
        <w:rPr>
          <w:sz w:val="22"/>
          <w:szCs w:val="22"/>
        </w:rPr>
        <w:t xml:space="preserve">Primary Care Integration (PIN) and Community Health Integration (CHI) are Medicare fee-for-service billing codes that pay $85–$120/month per patient for care coordination services. These are existing CMS payment codes, not innovation model payments.</w:t>
      </w:r>
    </w:p>
    <w:p>
      <w:pPr>
        <w:spacing w:before="200" w:after="100"/>
      </w:pPr>
      <w:r>
        <w:rPr>
          <w:rFonts w:ascii="Arial" w:cs="Arial" w:eastAsia="Arial" w:hAnsi="Arial"/>
          <w:b/>
          <w:bCs/>
          <w:color w:val="1B2A4A"/>
          <w:sz w:val="24"/>
          <w:szCs w:val="24"/>
        </w:rPr>
        <w:t xml:space="preserve">The BCH Incident-To Arrangement</w:t>
      </w:r>
    </w:p>
    <w:p>
      <w:pPr>
        <w:spacing w:after="120" w:line="276"/>
      </w:pPr>
      <w:r>
        <w:rPr>
          <w:sz w:val="22"/>
          <w:szCs w:val="22"/>
        </w:rPr>
        <w:t xml:space="preserve">co-op.care cannot bill PIN/CHI directly until its own Medicare enrollment (CMS-855B) clears, which takes 60–90 days. The bridge: BCH provides its NPI for "incident-to" billing under a Memorandum of Understanding. co-op.care delivers the care coordination, BCH submits the claims, revenue splits per the MOU.</w:t>
      </w:r>
    </w:p>
    <w:p>
      <w:pPr>
        <w:spacing w:before="200" w:after="100"/>
      </w:pPr>
      <w:r>
        <w:rPr>
          <w:rFonts w:ascii="Arial" w:cs="Arial" w:eastAsia="Arial" w:hAnsi="Arial"/>
          <w:b/>
          <w:bCs/>
          <w:color w:val="1B2A4A"/>
          <w:sz w:val="24"/>
          <w:szCs w:val="24"/>
        </w:rPr>
        <w:t xml:space="preserve">Architecture Requirements for FFS</w:t>
      </w:r>
    </w:p>
    <w:p>
      <w:pPr>
        <w:pStyle w:val="ListParagraph"/>
        <w:numPr>
          <w:ilvl w:val="0"/>
          <w:numId w:val="2"/>
        </w:numPr>
        <w:spacing w:after="60" w:line="276"/>
      </w:pPr>
      <w:r>
        <w:rPr>
          <w:sz w:val="22"/>
          <w:szCs w:val="22"/>
        </w:rPr>
        <w:t xml:space="preserve">CMS-1500 / 837P claim generation engine compatible with BCH billing systems</w:t>
      </w:r>
    </w:p>
    <w:p>
      <w:pPr>
        <w:pStyle w:val="ListParagraph"/>
        <w:numPr>
          <w:ilvl w:val="0"/>
          <w:numId w:val="2"/>
        </w:numPr>
        <w:spacing w:after="60" w:line="276"/>
      </w:pPr>
      <w:r>
        <w:rPr>
          <w:sz w:val="22"/>
          <w:szCs w:val="22"/>
        </w:rPr>
        <w:t xml:space="preserve">CPT code mapping: PIN (99490, 99491) and CHI (G0511) codes auto-populated from Omaha System encounter data</w:t>
      </w:r>
    </w:p>
    <w:p>
      <w:pPr>
        <w:pStyle w:val="ListParagraph"/>
        <w:numPr>
          <w:ilvl w:val="0"/>
          <w:numId w:val="2"/>
        </w:numPr>
        <w:spacing w:after="60" w:line="276"/>
      </w:pPr>
      <w:r>
        <w:rPr>
          <w:sz w:val="22"/>
          <w:szCs w:val="22"/>
        </w:rPr>
        <w:t xml:space="preserve">Time-tracking module: PIN/CHI require documented time thresholds (20+ minutes/month for CCM)</w:t>
      </w:r>
    </w:p>
    <w:p>
      <w:pPr>
        <w:pStyle w:val="ListParagraph"/>
        <w:numPr>
          <w:ilvl w:val="0"/>
          <w:numId w:val="2"/>
        </w:numPr>
        <w:spacing w:after="60" w:line="276"/>
      </w:pPr>
      <w:r>
        <w:rPr>
          <w:sz w:val="22"/>
          <w:szCs w:val="22"/>
        </w:rPr>
        <w:t xml:space="preserve">Incident-to compliance: documentation must demonstrate physician oversight per CMS incident-to rules</w:t>
      </w:r>
    </w:p>
    <w:p>
      <w:pPr>
        <w:spacing w:before="200" w:after="100"/>
      </w:pPr>
      <w:r>
        <w:rPr>
          <w:rFonts w:ascii="Arial" w:cs="Arial" w:eastAsia="Arial" w:hAnsi="Arial"/>
          <w:b/>
          <w:bCs/>
          <w:color w:val="1B2A4A"/>
          <w:sz w:val="24"/>
          <w:szCs w:val="24"/>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Component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Per Patient/Month</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Year 1 Patients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Annual Revenue</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PIN/CHI FFS</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$85–$120</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60–80</w:t>
            </w:r>
          </w:p>
        </w:tc>
        <w:tc>
          <w:tcPr>
            <w:tcW w:type="dxa" w:w="2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$61,200–$115,200</w:t>
            </w:r>
          </w:p>
        </w:tc>
      </w:tr>
    </w:tbl>
    <w:p>
      <w:pPr>
        <w:spacing w:before="200"/>
      </w:pPr>
    </w:p>
    <w:p>
      <w:pPr>
        <w:pStyle w:val="Heading2"/>
      </w:pPr>
      <w:r>
        <w:t xml:space="preserve">2.3 Rail 3: ACO REACH → LEAD Model (Shared Savings)</w:t>
      </w:r>
    </w:p>
    <w:p>
      <w:pPr>
        <w:spacing w:after="120" w:line="276"/>
      </w:pPr>
      <w:r>
        <w:rPr>
          <w:b/>
          <w:bCs/>
          <w:sz w:val="22"/>
          <w:szCs w:val="22"/>
        </w:rPr>
        <w:t xml:space="preserve">This is the decade-long backbone. </w:t>
      </w:r>
      <w:r>
        <w:rPr>
          <w:sz w:val="22"/>
          <w:szCs w:val="22"/>
        </w:rPr>
        <w:t xml:space="preserve">ACO REACH ends December 31, 2026. The LEAD Model (Long-term Enhanced ACO Design) launches January 1, 2027 and runs through December 31, 2036.</w:t>
      </w:r>
    </w:p>
    <w:p>
      <w:pPr>
        <w:spacing w:after="120" w:line="276"/>
      </w:pPr>
      <w:r>
        <w:rPr>
          <w:sz w:val="22"/>
          <w:szCs w:val="22"/>
        </w:rPr>
        <w:t xml:space="preserve">co-op.care does not form its own ACO. The Technologies LLC partners with an existing High-Needs ACO (HNACO) as a preferred downstream care provider. The pitch: we provide the home-based care infrastructure that keeps attributed beneficiaries out of the hospital. The HNACO captures shared savings on the benchmark spread. We negotiate a per-patient fee or percentage of savings.</w:t>
      </w:r>
    </w:p>
    <w:p>
      <w:pPr>
        <w:spacing w:before="200" w:after="100"/>
      </w:pPr>
      <w:r>
        <w:rPr>
          <w:rFonts w:ascii="Arial" w:cs="Arial" w:eastAsia="Arial" w:hAnsi="Arial"/>
          <w:b/>
          <w:bCs/>
          <w:color w:val="1B2A4A"/>
          <w:sz w:val="24"/>
          <w:szCs w:val="24"/>
        </w:rPr>
        <w:t xml:space="preserve">Why LEAD Is the Long-Term Play</w:t>
      </w:r>
    </w:p>
    <w:p>
      <w:pPr>
        <w:pStyle w:val="ListParagraph"/>
        <w:numPr>
          <w:ilvl w:val="0"/>
          <w:numId w:val="2"/>
        </w:numPr>
        <w:spacing w:after="60" w:line="276"/>
      </w:pPr>
      <w:r>
        <w:rPr>
          <w:b/>
          <w:bCs/>
          <w:sz w:val="22"/>
          <w:szCs w:val="22"/>
        </w:rPr>
        <w:t xml:space="preserve">10-year horizon without rebasing. </w:t>
      </w:r>
      <w:r>
        <w:rPr>
          <w:sz w:val="22"/>
          <w:szCs w:val="22"/>
        </w:rPr>
        <w:t xml:space="preserve">Unlike ACO REACH’s short cycles, LEAD provides a decade of payment stability. This justifies long-term infrastructure investment in CareOS, the captive insurance pathway, and cooperative expansion.</w:t>
      </w:r>
    </w:p>
    <w:p>
      <w:pPr>
        <w:pStyle w:val="ListParagraph"/>
        <w:numPr>
          <w:ilvl w:val="0"/>
          <w:numId w:val="2"/>
        </w:numPr>
        <w:spacing w:after="60" w:line="276"/>
      </w:pPr>
      <w:r>
        <w:rPr>
          <w:b/>
          <w:bCs/>
          <w:sz w:val="22"/>
          <w:szCs w:val="22"/>
        </w:rPr>
        <w:t xml:space="preserve">Explicit homebound/home-limited focus. </w:t>
      </w:r>
      <w:r>
        <w:rPr>
          <w:sz w:val="22"/>
          <w:szCs w:val="22"/>
        </w:rPr>
        <w:t xml:space="preserve">CMS designed LEAD for exactly the population co-op.care serves: aging adults receiving care in their homes.</w:t>
      </w:r>
    </w:p>
    <w:p>
      <w:pPr>
        <w:pStyle w:val="ListParagraph"/>
        <w:numPr>
          <w:ilvl w:val="0"/>
          <w:numId w:val="2"/>
        </w:numPr>
        <w:spacing w:after="60" w:line="276"/>
      </w:pPr>
      <w:r>
        <w:rPr>
          <w:b/>
          <w:bCs/>
          <w:sz w:val="22"/>
          <w:szCs w:val="22"/>
        </w:rPr>
        <w:t xml:space="preserve">Episode-based falls prevention through CARA. </w:t>
      </w:r>
      <w:r>
        <w:rPr>
          <w:sz w:val="22"/>
          <w:szCs w:val="22"/>
        </w:rPr>
        <w:t xml:space="preserve">The CMS-Administered Risk Arrangement includes a dedicated falls prevention episode program. Falls are the #1 acute event driving nursing home admission. Our CRI assessment weights fall risk at 1.1x. This is a direct revenue-to-assessment pipeline.</w:t>
      </w:r>
    </w:p>
    <w:p>
      <w:pPr>
        <w:pStyle w:val="ListParagraph"/>
        <w:numPr>
          <w:ilvl w:val="0"/>
          <w:numId w:val="2"/>
        </w:numPr>
        <w:spacing w:after="60" w:line="276"/>
      </w:pPr>
      <w:r>
        <w:rPr>
          <w:b/>
          <w:bCs/>
          <w:sz w:val="22"/>
          <w:szCs w:val="22"/>
        </w:rPr>
        <w:t xml:space="preserve">Medicaid integration planning. </w:t>
      </w:r>
      <w:r>
        <w:rPr>
          <w:sz w:val="22"/>
          <w:szCs w:val="22"/>
        </w:rPr>
        <w:t xml:space="preserve">LEAD includes a planning phase (March 2026–December 2027) to identify states for ACO-Medicaid partnership frameworks. Colorado, with its PACE infrastructure and Health First Colorado, is a natural candidate.</w:t>
      </w:r>
    </w:p>
    <w:p>
      <w:pPr>
        <w:pStyle w:val="ListParagraph"/>
        <w:numPr>
          <w:ilvl w:val="0"/>
          <w:numId w:val="2"/>
        </w:numPr>
        <w:spacing w:after="60" w:line="276"/>
      </w:pPr>
      <w:r>
        <w:rPr>
          <w:b/>
          <w:bCs/>
          <w:sz w:val="22"/>
          <w:szCs w:val="22"/>
        </w:rPr>
        <w:t xml:space="preserve">Lower alignment minimums. </w:t>
      </w:r>
      <w:r>
        <w:rPr>
          <w:sz w:val="22"/>
          <w:szCs w:val="22"/>
        </w:rPr>
        <w:t xml:space="preserve">ACO REACH HNACOs needed only 1,000–1,250 beneficiaries. LEAD minimums for new entrants may be even lower. The top 5 HNACOs by savings per beneficiary earned 9x the program average — all by focusing on high-needs populations.</w:t>
      </w:r>
    </w:p>
    <w:p>
      <w:pPr>
        <w:spacing w:before="200" w:after="100"/>
      </w:pPr>
      <w:r>
        <w:rPr>
          <w:rFonts w:ascii="Arial" w:cs="Arial" w:eastAsia="Arial" w:hAnsi="Arial"/>
          <w:b/>
          <w:bCs/>
          <w:color w:val="1B2A4A"/>
          <w:sz w:val="24"/>
          <w:szCs w:val="24"/>
        </w:rPr>
        <w:t xml:space="preserve">Architecture Requirements for LEAD</w:t>
      </w:r>
    </w:p>
    <w:p>
      <w:pPr>
        <w:pStyle w:val="ListParagraph"/>
        <w:numPr>
          <w:ilvl w:val="0"/>
          <w:numId w:val="2"/>
        </w:numPr>
        <w:spacing w:after="60" w:line="276"/>
      </w:pPr>
      <w:r>
        <w:rPr>
          <w:sz w:val="22"/>
          <w:szCs w:val="22"/>
        </w:rPr>
        <w:t xml:space="preserve">HNACO data integration layer: receive attributed beneficiary lists, report quality measures, reconcile shared savings calculations</w:t>
      </w:r>
    </w:p>
    <w:p>
      <w:pPr>
        <w:pStyle w:val="ListParagraph"/>
        <w:numPr>
          <w:ilvl w:val="0"/>
          <w:numId w:val="2"/>
        </w:numPr>
        <w:spacing w:after="60" w:line="276"/>
      </w:pPr>
      <w:r>
        <w:rPr>
          <w:sz w:val="22"/>
          <w:szCs w:val="22"/>
        </w:rPr>
        <w:t xml:space="preserve">Episode-based claims tracking: identify and flag falls-related episodes for CARA reporting</w:t>
      </w:r>
    </w:p>
    <w:p>
      <w:pPr>
        <w:pStyle w:val="ListParagraph"/>
        <w:numPr>
          <w:ilvl w:val="0"/>
          <w:numId w:val="2"/>
        </w:numPr>
        <w:spacing w:after="60" w:line="276"/>
      </w:pPr>
      <w:r>
        <w:rPr>
          <w:sz w:val="22"/>
          <w:szCs w:val="22"/>
        </w:rPr>
        <w:t xml:space="preserve">Risk stratification engine: score attributed beneficiaries by predicted utilization to prioritize interventions</w:t>
      </w:r>
    </w:p>
    <w:p>
      <w:pPr>
        <w:pStyle w:val="ListParagraph"/>
        <w:numPr>
          <w:ilvl w:val="0"/>
          <w:numId w:val="2"/>
        </w:numPr>
        <w:spacing w:after="60" w:line="276"/>
      </w:pPr>
      <w:r>
        <w:rPr>
          <w:sz w:val="22"/>
          <w:szCs w:val="22"/>
        </w:rPr>
        <w:t xml:space="preserve">Benchmark comparison reporting: track total cost of care vs. CMS benchmarks to project shared savings</w:t>
      </w:r>
    </w:p>
    <w:p>
      <w:pPr>
        <w:pStyle w:val="ListParagraph"/>
        <w:numPr>
          <w:ilvl w:val="0"/>
          <w:numId w:val="2"/>
        </w:numPr>
        <w:spacing w:after="60" w:line="276"/>
      </w:pPr>
      <w:r>
        <w:rPr>
          <w:sz w:val="22"/>
          <w:szCs w:val="22"/>
        </w:rPr>
        <w:t xml:space="preserve">Quality measure dashboard: HEDIS, CAHPS, and LEAD-specific quality metrics aggregated across the cooperative network</w:t>
      </w:r>
    </w:p>
    <w:p>
      <w:pPr>
        <w:spacing w:before="200" w:after="100"/>
      </w:pPr>
      <w:r>
        <w:rPr>
          <w:rFonts w:ascii="Arial" w:cs="Arial" w:eastAsia="Arial" w:hAnsi="Arial"/>
          <w:b/>
          <w:bCs/>
          <w:color w:val="1B2A4A"/>
          <w:sz w:val="24"/>
          <w:szCs w:val="24"/>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Component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Per Patient/Month</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Year 2+ Patients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Annual Revenue</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LEAD shared savings (50%)</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Variable ($50–$200)</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30–50</w:t>
            </w:r>
          </w:p>
        </w:tc>
        <w:tc>
          <w:tcPr>
            <w:tcW w:type="dxa" w:w="2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$18,000–$120,000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CARA falls prevention episodes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$500–$1,500/episode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20–40 episodes/yr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$10,000–$60,000</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333333"/>
                <w:sz w:val="18"/>
                <w:szCs w:val="18"/>
              </w:rPr>
              <w:t xml:space="preserve">LEAD Total (Year 2+)</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
            </w:r>
          </w:p>
        </w:tc>
        <w:tc>
          <w:tcPr>
            <w:tcW w:type="dxa" w:w="2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333333"/>
                <w:sz w:val="18"/>
                <w:szCs w:val="18"/>
              </w:rPr>
              <w:t xml:space="preserve">$28,000–$180,000</w:t>
            </w:r>
          </w:p>
        </w:tc>
      </w:tr>
    </w:tbl>
    <w:p>
      <w:r>
        <w:br w:type="page"/>
      </w:r>
    </w:p>
    <w:p>
      <w:pPr>
        <w:pStyle w:val="Heading2"/>
      </w:pPr>
      <w:r>
        <w:t xml:space="preserve">2.4 Rail 4: PACE Sub-Capitation (TRU PACE / InnovAge)</w:t>
      </w:r>
    </w:p>
    <w:p>
      <w:pPr>
        <w:spacing w:after="120" w:line="276"/>
      </w:pPr>
      <w:r>
        <w:rPr>
          <w:sz w:val="22"/>
          <w:szCs w:val="22"/>
        </w:rPr>
        <w:t xml:space="preserve">Programs of All-Inclusive Care for the Elderly (PACE) receive fully capitated payments (~$3,500/month per enrollee) to cover all Medicare and Medicaid services. PACE programs subcontract portions of care to community providers.</w:t>
      </w:r>
    </w:p>
    <w:p>
      <w:pPr>
        <w:spacing w:before="200" w:after="100"/>
      </w:pPr>
      <w:r>
        <w:rPr>
          <w:rFonts w:ascii="Arial" w:cs="Arial" w:eastAsia="Arial" w:hAnsi="Arial"/>
          <w:b/>
          <w:bCs/>
          <w:color w:val="1B2A4A"/>
          <w:sz w:val="24"/>
          <w:szCs w:val="24"/>
        </w:rPr>
        <w:t xml:space="preserve">The Partnership Strategy</w:t>
      </w:r>
    </w:p>
    <w:p>
      <w:pPr>
        <w:pStyle w:val="ListParagraph"/>
        <w:numPr>
          <w:ilvl w:val="0"/>
          <w:numId w:val="2"/>
        </w:numPr>
        <w:spacing w:after="60" w:line="276"/>
      </w:pPr>
      <w:r>
        <w:rPr>
          <w:b/>
          <w:bCs/>
          <w:sz w:val="22"/>
          <w:szCs w:val="22"/>
        </w:rPr>
        <w:t xml:space="preserve">TRU PACE: </w:t>
      </w:r>
      <w:r>
        <w:rPr>
          <w:sz w:val="22"/>
          <w:szCs w:val="22"/>
        </w:rPr>
        <w:t xml:space="preserve">Boulder County’s PACE provider, headquartered in Lafayette, serving every ZIP code in our density map. They subcontract the full continuum of care. Our 90-Day Impact Report (October 2026) is the credibility document for the sub-capitation pitch in November 2026.</w:t>
      </w:r>
    </w:p>
    <w:p>
      <w:pPr>
        <w:pStyle w:val="ListParagraph"/>
        <w:numPr>
          <w:ilvl w:val="0"/>
          <w:numId w:val="2"/>
        </w:numPr>
        <w:spacing w:after="60" w:line="276"/>
      </w:pPr>
      <w:r>
        <w:rPr>
          <w:b/>
          <w:bCs/>
          <w:sz w:val="22"/>
          <w:szCs w:val="22"/>
        </w:rPr>
        <w:t xml:space="preserve">InnovAge: </w:t>
      </w:r>
      <w:r>
        <w:rPr>
          <w:sz w:val="22"/>
          <w:szCs w:val="22"/>
        </w:rPr>
        <w:t xml:space="preserve">Covers Broomfield and Fort Collins for expansion nodes.</w:t>
      </w:r>
    </w:p>
    <w:p>
      <w:pPr>
        <w:spacing w:before="200" w:after="100"/>
      </w:pPr>
      <w:r>
        <w:rPr>
          <w:rFonts w:ascii="Arial" w:cs="Arial" w:eastAsia="Arial" w:hAnsi="Arial"/>
          <w:b/>
          <w:bCs/>
          <w:color w:val="1B2A4A"/>
          <w:sz w:val="24"/>
          <w:szCs w:val="24"/>
        </w:rPr>
        <w:t xml:space="preserve">Architecture Requirements for PACE</w:t>
      </w:r>
    </w:p>
    <w:p>
      <w:pPr>
        <w:pStyle w:val="ListParagraph"/>
        <w:numPr>
          <w:ilvl w:val="0"/>
          <w:numId w:val="2"/>
        </w:numPr>
        <w:spacing w:after="60" w:line="276"/>
      </w:pPr>
      <w:r>
        <w:rPr>
          <w:sz w:val="22"/>
          <w:szCs w:val="22"/>
        </w:rPr>
        <w:t xml:space="preserve">PACE encounter reporting format: document all services delivered to PACE-enrolled members per CMS encounter data requirements</w:t>
      </w:r>
    </w:p>
    <w:p>
      <w:pPr>
        <w:pStyle w:val="ListParagraph"/>
        <w:numPr>
          <w:ilvl w:val="0"/>
          <w:numId w:val="2"/>
        </w:numPr>
        <w:spacing w:after="60" w:line="276"/>
      </w:pPr>
      <w:r>
        <w:rPr>
          <w:sz w:val="22"/>
          <w:szCs w:val="22"/>
        </w:rPr>
        <w:t xml:space="preserve">Capitated payment reconciliation: track sub-capitation payments received vs. care costs incurred per PACE enrollee</w:t>
      </w:r>
    </w:p>
    <w:p>
      <w:pPr>
        <w:pStyle w:val="ListParagraph"/>
        <w:numPr>
          <w:ilvl w:val="0"/>
          <w:numId w:val="2"/>
        </w:numPr>
        <w:spacing w:after="60" w:line="276"/>
      </w:pPr>
      <w:r>
        <w:rPr>
          <w:sz w:val="22"/>
          <w:szCs w:val="22"/>
        </w:rPr>
        <w:t xml:space="preserve">Utilization management module: PACE programs require pre-authorization for certain services; the platform must support this workflow</w:t>
      </w:r>
    </w:p>
    <w:p>
      <w:pPr>
        <w:pStyle w:val="ListParagraph"/>
        <w:numPr>
          <w:ilvl w:val="0"/>
          <w:numId w:val="2"/>
        </w:numPr>
        <w:spacing w:after="60" w:line="276"/>
      </w:pPr>
      <w:r>
        <w:rPr>
          <w:sz w:val="22"/>
          <w:szCs w:val="22"/>
        </w:rPr>
        <w:t xml:space="preserve">Dual-eligible member identification: flag members who are both Medicare and Medicaid eligible for PACE enrollment targeting</w:t>
      </w:r>
    </w:p>
    <w:p>
      <w:pPr>
        <w:spacing w:before="200" w:after="100"/>
      </w:pPr>
      <w:r>
        <w:rPr>
          <w:rFonts w:ascii="Arial" w:cs="Arial" w:eastAsia="Arial" w:hAnsi="Arial"/>
          <w:b/>
          <w:bCs/>
          <w:color w:val="1B2A4A"/>
          <w:sz w:val="24"/>
          <w:szCs w:val="24"/>
        </w:rPr>
        <w:t xml:space="preserve">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Component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Per Patient/Month</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Year 2 Patients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Annual Revenue</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PACE sub-capitation</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$2,000–$3,500</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10–15</w:t>
            </w:r>
          </w:p>
        </w:tc>
        <w:tc>
          <w:tcPr>
            <w:tcW w:type="dxa" w:w="2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$240,000–$630,000</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5FB" w:val="clear"/>
            <w:tcMar>
              <w:top w:type="dxa" w:w="120"/>
              <w:left w:type="dxa" w:w="200"/>
              <w:bottom w:type="dxa" w:w="120"/>
              <w:right w:type="dxa" w:w="200"/>
            </w:tcMar>
          </w:tcPr>
          <w:p>
            <w:r>
              <w:rPr>
                <w:i/>
                <w:iCs/>
                <w:color w:val="1B2A4A"/>
                <w:sz w:val="22"/>
                <w:szCs w:val="22"/>
              </w:rPr>
              <w:t xml:space="preserve">PACE sub-capitation is the margin engine. At $3,500/month per enrollee with cooperative care delivery costs of $1,500–$2,000/month, the spread funds the Family Caregiver Stipend ($200/month), Time Bank infrastructure, and captive insurance capitalization.</w:t>
            </w:r>
          </w:p>
        </w:tc>
      </w:tr>
    </w:tbl>
    <w:p>
      <w:pPr>
        <w:pStyle w:val="Heading2"/>
      </w:pPr>
      <w:r>
        <w:t xml:space="preserve">2.5 Rail 5: Private Pay + Employer B2B</w:t>
      </w:r>
    </w:p>
    <w:p>
      <w:pPr>
        <w:spacing w:after="120" w:line="276"/>
      </w:pPr>
      <w:r>
        <w:rPr>
          <w:sz w:val="22"/>
          <w:szCs w:val="22"/>
        </w:rPr>
        <w:t xml:space="preserve">The foundational revenue layer that exists from day one without any federal application or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Component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Year 1 Volume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Annual Revenue</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Private pay (direct family)</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$45/hr (blended $31.50 w/ Time Bank)</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46 active families</w:t>
            </w:r>
          </w:p>
        </w:tc>
        <w:tc>
          <w:tcPr>
            <w:tcW w:type="dxa" w:w="2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$600,000–$900,000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Employer pilot (BVSD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$6 PMPM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500–1,000 covered employees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$36,000–$72,000</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Community membership</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$100/year</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200 founding families</w:t>
            </w:r>
          </w:p>
        </w:tc>
        <w:tc>
          <w:tcPr>
            <w:tcW w:type="dxa" w:w="2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$20,000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18"/>
                <w:szCs w:val="18"/>
              </w:rPr>
              <w:t xml:space="preserve">Commercial 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333333"/>
                <w:sz w:val="18"/>
                <w:szCs w:val="18"/>
              </w:rPr>
              <w:t xml:space="preserve">$656,000–$992,000</w:t>
            </w:r>
          </w:p>
        </w:tc>
      </w:tr>
    </w:tbl>
    <w:p>
      <w:r>
        <w:br w:type="page"/>
      </w:r>
    </w:p>
    <w:p>
      <w:pPr>
        <w:pStyle w:val="Heading2"/>
      </w:pPr>
      <w:r>
        <w:t xml:space="preserve">2.6 Combined Revenue Stack at Maturity (Year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5FB" w:val="clear"/>
            <w:tcMar>
              <w:top w:type="dxa" w:w="120"/>
              <w:left w:type="dxa" w:w="200"/>
              <w:bottom w:type="dxa" w:w="120"/>
              <w:right w:type="dxa" w:w="200"/>
            </w:tcMar>
          </w:tcPr>
          <w:p>
            <w:r>
              <w:rPr>
                <w:i/>
                <w:iCs/>
                <w:color w:val="1B2A4A"/>
                <w:sz w:val="22"/>
                <w:szCs w:val="22"/>
              </w:rPr>
              <w:t xml:space="preserve">This is the economic thesis: no single rail sustains the model alone. All five together make it unassailable. The same patient population generates revenue across every rail simultaneously.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Payment Rail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Monthly Revenue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Annual Revenue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 of Total</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Rail 1: ACCESS OAPs</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$5,000–$10,000</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$60,000–$120,000</w:t>
            </w:r>
          </w:p>
        </w:tc>
        <w:tc>
          <w:tcPr>
            <w:tcW w:type="dxa" w:w="2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3–5%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Rail 2: PIN/CHI FFS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$8,000–$12,000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$96,000–$144,000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5–6%</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Rail 3: LEAD shared savings + CARA</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$4,000–$15,000</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$48,000–$180,000</w:t>
            </w:r>
          </w:p>
        </w:tc>
        <w:tc>
          <w:tcPr>
            <w:tcW w:type="dxa" w:w="2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3–8%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Rail 4: PACE sub-capitation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$30,000–$52,000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$360,000–$630,000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22–27%</w:t>
            </w:r>
          </w:p>
        </w:tc>
      </w:tr>
      <w:tr>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Rail 5: Private pay + employer + membership</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$55,000–$83,000</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$656,000–$992,000</w:t>
            </w:r>
          </w:p>
        </w:tc>
        <w:tc>
          <w:tcPr>
            <w:tcW w:type="dxa" w:w="2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42–55%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B2A4A"/>
                <w:sz w:val="18"/>
                <w:szCs w:val="18"/>
              </w:rPr>
              <w:t xml:space="preserve">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B2A4A"/>
                <w:sz w:val="18"/>
                <w:szCs w:val="18"/>
              </w:rPr>
              <w:t xml:space="preserve">$102,000–$172,000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B2A4A"/>
                <w:sz w:val="18"/>
                <w:szCs w:val="18"/>
              </w:rPr>
              <w:t xml:space="preserve">$1.22M–$2.07M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B2A4A"/>
                <w:sz w:val="18"/>
                <w:szCs w:val="18"/>
              </w:rPr>
              <w:t xml:space="preserve">100%</w:t>
            </w:r>
          </w:p>
        </w:tc>
      </w:tr>
    </w:tbl>
    <w:p>
      <w:pPr>
        <w:spacing w:before="100"/>
      </w:pPr>
    </w:p>
    <w:p>
      <w:pPr>
        <w:spacing w:after="120" w:line="276"/>
      </w:pPr>
      <w:r>
        <w:rPr>
          <w:sz w:val="22"/>
          <w:szCs w:val="22"/>
        </w:rPr>
        <w:t xml:space="preserve">This is per cooperative. The Technologies LLC captures platform licensing fees across all cooperatives plus holds the payer contracts. As the federation grows (Boulder → Louisville → Longmont → Fort Collins), LLC revenue scales linearly with cooperative count while infrastructure costs scale sub-linearly.</w:t>
      </w:r>
    </w:p>
    <w:p>
      <w:r>
        <w:br w:type="page"/>
      </w:r>
    </w:p>
    <w:p>
      <w:pPr>
        <w:pStyle w:val="Heading1"/>
      </w:pPr>
      <w:r>
        <w:t xml:space="preserve">3. Platform Architecture: The Six-Layer Stack</w:t>
      </w:r>
    </w:p>
    <w:p>
      <w:pPr>
        <w:spacing w:after="120" w:line="276"/>
      </w:pPr>
      <w:r>
        <w:rPr>
          <w:sz w:val="22"/>
          <w:szCs w:val="22"/>
        </w:rPr>
        <w:t xml:space="preserve">The co-op.care platform is a six-layer architecture designed for HIPAA compliance, multi-tenant cooperative isolation, multi-payer billing, and clinical AI safety. Each layer has distinct responsibilities, failure modes, and scaling characteristics.</w:t>
      </w:r>
    </w:p>
    <w:p>
      <w:pPr>
        <w:pStyle w:val="Heading2"/>
      </w:pPr>
      <w:r>
        <w:t xml:space="preserve">3.1 Layer 1: Identity Trust &amp; Zero-Trust Access</w:t>
      </w:r>
    </w:p>
    <w:p>
      <w:pPr>
        <w:spacing w:after="120" w:line="276"/>
      </w:pPr>
      <w:r>
        <w:rPr>
          <w:sz w:val="22"/>
          <w:szCs w:val="22"/>
        </w:rPr>
        <w:t xml:space="preserve">Identity is the primary security boundary. Every request is treated as potentially compromised. This layer governs who can access what data across the federated system.</w:t>
      </w:r>
    </w:p>
    <w:p>
      <w:pPr>
        <w:spacing w:before="200" w:after="100"/>
      </w:pPr>
      <w:r>
        <w:rPr>
          <w:rFonts w:ascii="Arial" w:cs="Arial" w:eastAsia="Arial" w:hAnsi="Arial"/>
          <w:b/>
          <w:bCs/>
          <w:color w:val="1B2A4A"/>
          <w:sz w:val="24"/>
          <w:szCs w:val="24"/>
        </w:rPr>
        <w:t xml:space="preserve">Requirements</w:t>
      </w:r>
    </w:p>
    <w:p>
      <w:pPr>
        <w:pStyle w:val="ListParagraph"/>
        <w:numPr>
          <w:ilvl w:val="0"/>
          <w:numId w:val="2"/>
        </w:numPr>
        <w:spacing w:after="60" w:line="276"/>
      </w:pPr>
      <w:r>
        <w:rPr>
          <w:sz w:val="22"/>
          <w:szCs w:val="22"/>
        </w:rPr>
        <w:t xml:space="preserve">Multi-factor authentication (MFA) for all workforce users, including caregivers on mobile devices</w:t>
      </w:r>
    </w:p>
    <w:p>
      <w:pPr>
        <w:pStyle w:val="ListParagraph"/>
        <w:numPr>
          <w:ilvl w:val="0"/>
          <w:numId w:val="2"/>
        </w:numPr>
        <w:spacing w:after="60" w:line="276"/>
      </w:pPr>
      <w:r>
        <w:rPr>
          <w:sz w:val="22"/>
          <w:szCs w:val="22"/>
        </w:rPr>
        <w:t xml:space="preserve">Role-based access control (RBAC) with five role tiers: Platform Admin (LLC), Cooperative Admin, Care Coordinator, Worker-Owner Caregiver, Consumer-Member Family</w:t>
      </w:r>
    </w:p>
    <w:p>
      <w:pPr>
        <w:pStyle w:val="ListParagraph"/>
        <w:numPr>
          <w:ilvl w:val="0"/>
          <w:numId w:val="2"/>
        </w:numPr>
        <w:spacing w:after="60" w:line="276"/>
      </w:pPr>
      <w:r>
        <w:rPr>
          <w:sz w:val="22"/>
          <w:szCs w:val="22"/>
        </w:rPr>
        <w:t xml:space="preserve">Tenant-scoped authorization: a caregiver in co-op.care Boulder cannot access co-op.care Louisville PHI, even though both run on the same platform</w:t>
      </w:r>
    </w:p>
    <w:p>
      <w:pPr>
        <w:pStyle w:val="ListParagraph"/>
        <w:numPr>
          <w:ilvl w:val="0"/>
          <w:numId w:val="2"/>
        </w:numPr>
        <w:spacing w:after="60" w:line="276"/>
      </w:pPr>
      <w:r>
        <w:rPr>
          <w:sz w:val="22"/>
          <w:szCs w:val="22"/>
        </w:rPr>
        <w:t xml:space="preserve">Machine-to-machine authentication for API integrations (BCH EHR, PACE encounter systems, HNACO data feeds)</w:t>
      </w:r>
    </w:p>
    <w:p>
      <w:pPr>
        <w:pStyle w:val="ListParagraph"/>
        <w:numPr>
          <w:ilvl w:val="0"/>
          <w:numId w:val="2"/>
        </w:numPr>
        <w:spacing w:after="60" w:line="276"/>
      </w:pPr>
      <w:r>
        <w:rPr>
          <w:sz w:val="22"/>
          <w:szCs w:val="22"/>
        </w:rPr>
        <w:t xml:space="preserve">Patient consent management: FHIR Consent resources tracking what data each patient has authorized for which purposes</w:t>
      </w:r>
    </w:p>
    <w:p>
      <w:pPr>
        <w:spacing w:before="200" w:after="100"/>
      </w:pPr>
      <w:r>
        <w:rPr>
          <w:rFonts w:ascii="Arial" w:cs="Arial" w:eastAsia="Arial" w:hAnsi="Arial"/>
          <w:b/>
          <w:bCs/>
          <w:color w:val="1B2A4A"/>
          <w:sz w:val="24"/>
          <w:szCs w:val="24"/>
        </w:rPr>
        <w:t xml:space="preserve">Key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5FB" w:val="clear"/>
            <w:tcMar>
              <w:top w:type="dxa" w:w="120"/>
              <w:left w:type="dxa" w:w="200"/>
              <w:bottom w:type="dxa" w:w="120"/>
              <w:right w:type="dxa" w:w="200"/>
            </w:tcMar>
          </w:tcPr>
          <w:p>
            <w:r>
              <w:rPr>
                <w:i/>
                <w:iCs/>
                <w:color w:val="1B2A4A"/>
                <w:sz w:val="22"/>
                <w:szCs w:val="22"/>
              </w:rPr>
              <w:t xml:space="preserve">Jacob: the identity layer must support both per-cooperative RBAC (caregiver sees only their cooperative’s patients) AND cross-cooperative analytics (the LLC’s ML pipeline sees de-identified aggregate data from all cooperatives). This dual-scope authorization is the hardest identity problem in the architecture.</w:t>
            </w:r>
          </w:p>
        </w:tc>
      </w:tr>
    </w:tbl>
    <w:p>
      <w:pPr>
        <w:pStyle w:val="Heading2"/>
      </w:pPr>
      <w:r>
        <w:t xml:space="preserve">3.2 Layer 2: PHI Data Protection</w:t>
      </w:r>
    </w:p>
    <w:p>
      <w:pPr>
        <w:pStyle w:val="ListParagraph"/>
        <w:numPr>
          <w:ilvl w:val="0"/>
          <w:numId w:val="2"/>
        </w:numPr>
        <w:spacing w:after="60" w:line="276"/>
      </w:pPr>
      <w:r>
        <w:rPr>
          <w:sz w:val="22"/>
          <w:szCs w:val="22"/>
        </w:rPr>
        <w:t xml:space="preserve">AES-256 encryption at rest for all PHI</w:t>
      </w:r>
    </w:p>
    <w:p>
      <w:pPr>
        <w:pStyle w:val="ListParagraph"/>
        <w:numPr>
          <w:ilvl w:val="0"/>
          <w:numId w:val="2"/>
        </w:numPr>
        <w:spacing w:after="60" w:line="276"/>
      </w:pPr>
      <w:r>
        <w:rPr>
          <w:sz w:val="22"/>
          <w:szCs w:val="22"/>
        </w:rPr>
        <w:t xml:space="preserve">TLS 1.2+ for all data in transit</w:t>
      </w:r>
    </w:p>
    <w:p>
      <w:pPr>
        <w:pStyle w:val="ListParagraph"/>
        <w:numPr>
          <w:ilvl w:val="0"/>
          <w:numId w:val="2"/>
        </w:numPr>
        <w:spacing w:after="60" w:line="276"/>
      </w:pPr>
      <w:r>
        <w:rPr>
          <w:sz w:val="22"/>
          <w:szCs w:val="22"/>
        </w:rPr>
        <w:t xml:space="preserve">Field-level tokenization for sensitive identifiers (SSN, MRN, DOB) before data enters analytics pipelines</w:t>
      </w:r>
    </w:p>
    <w:p>
      <w:pPr>
        <w:pStyle w:val="ListParagraph"/>
        <w:numPr>
          <w:ilvl w:val="0"/>
          <w:numId w:val="2"/>
        </w:numPr>
        <w:spacing w:after="60" w:line="276"/>
      </w:pPr>
      <w:r>
        <w:rPr>
          <w:sz w:val="22"/>
          <w:szCs w:val="22"/>
        </w:rPr>
        <w:t xml:space="preserve">De-identification pipeline: strip PHI from clinical data before it crosses the cooperative-to-LLC boundary for ML training</w:t>
      </w:r>
    </w:p>
    <w:p>
      <w:pPr>
        <w:pStyle w:val="ListParagraph"/>
        <w:numPr>
          <w:ilvl w:val="0"/>
          <w:numId w:val="2"/>
        </w:numPr>
        <w:spacing w:after="60" w:line="276"/>
      </w:pPr>
      <w:r>
        <w:rPr>
          <w:sz w:val="22"/>
          <w:szCs w:val="22"/>
        </w:rPr>
        <w:t xml:space="preserve">Audit trail: immutable log of every PHI access event per HIPAA Security Rule (45 CFR § 164.312)</w:t>
      </w:r>
    </w:p>
    <w:p>
      <w:pPr>
        <w:pStyle w:val="Heading2"/>
      </w:pPr>
      <w:r>
        <w:t xml:space="preserve">3.3 Layer 3: Application &amp; API Security</w:t>
      </w:r>
    </w:p>
    <w:p>
      <w:pPr>
        <w:pStyle w:val="ListParagraph"/>
        <w:numPr>
          <w:ilvl w:val="0"/>
          <w:numId w:val="2"/>
        </w:numPr>
        <w:spacing w:after="60" w:line="276"/>
      </w:pPr>
      <w:r>
        <w:rPr>
          <w:sz w:val="22"/>
          <w:szCs w:val="22"/>
        </w:rPr>
        <w:t xml:space="preserve">API Gateway (AWS API Gateway or Google Cloud Apigee) as unified control point</w:t>
      </w:r>
    </w:p>
    <w:p>
      <w:pPr>
        <w:pStyle w:val="ListParagraph"/>
        <w:numPr>
          <w:ilvl w:val="0"/>
          <w:numId w:val="2"/>
        </w:numPr>
        <w:spacing w:after="60" w:line="276"/>
      </w:pPr>
      <w:r>
        <w:rPr>
          <w:sz w:val="22"/>
          <w:szCs w:val="22"/>
        </w:rPr>
        <w:t xml:space="preserve">Rate limiting and throttling per cooperative tenant</w:t>
      </w:r>
    </w:p>
    <w:p>
      <w:pPr>
        <w:pStyle w:val="ListParagraph"/>
        <w:numPr>
          <w:ilvl w:val="0"/>
          <w:numId w:val="2"/>
        </w:numPr>
        <w:spacing w:after="60" w:line="276"/>
      </w:pPr>
      <w:r>
        <w:rPr>
          <w:sz w:val="22"/>
          <w:szCs w:val="22"/>
        </w:rPr>
        <w:t xml:space="preserve">Consent-aware data sharing: API responses filtered based on patient consent status, not just technical authorization</w:t>
      </w:r>
    </w:p>
    <w:p>
      <w:pPr>
        <w:pStyle w:val="ListParagraph"/>
        <w:numPr>
          <w:ilvl w:val="0"/>
          <w:numId w:val="2"/>
        </w:numPr>
        <w:spacing w:after="60" w:line="276"/>
      </w:pPr>
      <w:r>
        <w:rPr>
          <w:sz w:val="22"/>
          <w:szCs w:val="22"/>
        </w:rPr>
        <w:t xml:space="preserve">API versioning strategy for long-term compatibility (10-year LEAD horizon means APIs must be evolvable)</w:t>
      </w:r>
    </w:p>
    <w:p>
      <w:pPr>
        <w:pStyle w:val="Heading2"/>
      </w:pPr>
      <w:r>
        <w:t xml:space="preserve">3.4 Layer 4: Infrastructure &amp; Network Security</w:t>
      </w:r>
    </w:p>
    <w:p>
      <w:pPr>
        <w:pStyle w:val="ListParagraph"/>
        <w:numPr>
          <w:ilvl w:val="0"/>
          <w:numId w:val="2"/>
        </w:numPr>
        <w:spacing w:after="60" w:line="276"/>
      </w:pPr>
      <w:r>
        <w:rPr>
          <w:sz w:val="22"/>
          <w:szCs w:val="22"/>
        </w:rPr>
        <w:t xml:space="preserve">VPC isolation per cooperative tenant (or equivalent logical isolation)</w:t>
      </w:r>
    </w:p>
    <w:p>
      <w:pPr>
        <w:pStyle w:val="ListParagraph"/>
        <w:numPr>
          <w:ilvl w:val="0"/>
          <w:numId w:val="2"/>
        </w:numPr>
        <w:spacing w:after="60" w:line="276"/>
      </w:pPr>
      <w:r>
        <w:rPr>
          <w:sz w:val="22"/>
          <w:szCs w:val="22"/>
        </w:rPr>
        <w:t xml:space="preserve">Private subnets for PHI data stores; public subnets only for API Gateway endpoints</w:t>
      </w:r>
    </w:p>
    <w:p>
      <w:pPr>
        <w:pStyle w:val="ListParagraph"/>
        <w:numPr>
          <w:ilvl w:val="0"/>
          <w:numId w:val="2"/>
        </w:numPr>
        <w:spacing w:after="60" w:line="276"/>
      </w:pPr>
      <w:r>
        <w:rPr>
          <w:sz w:val="22"/>
          <w:szCs w:val="22"/>
        </w:rPr>
        <w:t xml:space="preserve">No flat network trust zones; east-west traffic within VPC is inspected and logged</w:t>
      </w:r>
    </w:p>
    <w:p>
      <w:pPr>
        <w:pStyle w:val="ListParagraph"/>
        <w:numPr>
          <w:ilvl w:val="0"/>
          <w:numId w:val="2"/>
        </w:numPr>
        <w:spacing w:after="60" w:line="276"/>
      </w:pPr>
      <w:r>
        <w:rPr>
          <w:sz w:val="22"/>
          <w:szCs w:val="22"/>
        </w:rPr>
        <w:t xml:space="preserve">BAA with cloud provider (AWS, GCP, or Azure) covering all HIPAA-eligible services used</w:t>
      </w:r>
    </w:p>
    <w:p>
      <w:pPr>
        <w:pStyle w:val="Heading2"/>
      </w:pPr>
      <w:r>
        <w:t xml:space="preserve">3.5 Layer 5: FHIR R4 Interoperability Hub</w:t>
      </w:r>
    </w:p>
    <w:p>
      <w:pPr>
        <w:spacing w:after="120" w:line="276"/>
      </w:pPr>
      <w:r>
        <w:rPr>
          <w:sz w:val="22"/>
          <w:szCs w:val="22"/>
        </w:rPr>
        <w:t xml:space="preserve">The FHIR server is the single source of truth. Every clinical event enters the system as a FHIR resource and flows outward to multiple consumers.</w:t>
      </w:r>
    </w:p>
    <w:p>
      <w:pPr>
        <w:spacing w:before="200" w:after="100"/>
      </w:pPr>
      <w:r>
        <w:rPr>
          <w:rFonts w:ascii="Arial" w:cs="Arial" w:eastAsia="Arial" w:hAnsi="Arial"/>
          <w:b/>
          <w:bCs/>
          <w:color w:val="1B2A4A"/>
          <w:sz w:val="24"/>
          <w:szCs w:val="24"/>
        </w:rPr>
        <w:t xml:space="preserve">Core FHIR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FHIR Resource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Source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Consumers</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Frequency</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Patient</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Member enrollment</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All systems</w:t>
            </w:r>
          </w:p>
        </w:tc>
        <w:tc>
          <w:tcPr>
            <w:tcW w:type="dxa" w:w="2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On enrollment, updates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Encounter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CareOS visit documentation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ACCESS OAT, PACE encounters, FFS claims, LEAD quality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Every caregiver visit</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Observation</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CII/CRI assessments, vitals, CareOS voice AI</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Risk stratification, ML pipeline, clinical dashboards</w:t>
            </w:r>
          </w:p>
        </w:tc>
        <w:tc>
          <w:tcPr>
            <w:tcW w:type="dxa" w:w="2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Per assessment/visit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Condition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Omaha System Problem Classification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ACCESS track eligibility, ICD-10 crosswalk for claims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Per clinical assessment</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CarePlan</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Omaha System Intervention Scheme</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Care coordination, family dashboard, outcome tracking</w:t>
            </w:r>
          </w:p>
        </w:tc>
        <w:tc>
          <w:tcPr>
            <w:tcW w:type="dxa" w:w="2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Per care episode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Claim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Billing engine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CMS (ACCESS, FFS), PACE, private pay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Per billable event</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Consent</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Patient consent management</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Identity layer, API gateway</w:t>
            </w:r>
          </w:p>
        </w:tc>
        <w:tc>
          <w:tcPr>
            <w:tcW w:type="dxa" w:w="2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On enrollment, updates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Subscription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Webhook configuration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BCH EHR (discharge notifications), HNACO data feeds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Event-driven</w:t>
            </w:r>
          </w:p>
        </w:tc>
      </w:tr>
    </w:tbl>
    <w:p>
      <w:pPr>
        <w:spacing w:before="100"/>
      </w:pPr>
    </w:p>
    <w:p>
      <w:pPr>
        <w:spacing w:before="200" w:after="100"/>
      </w:pPr>
      <w:r>
        <w:rPr>
          <w:rFonts w:ascii="Arial" w:cs="Arial" w:eastAsia="Arial" w:hAnsi="Arial"/>
          <w:b/>
          <w:bCs/>
          <w:color w:val="1B2A4A"/>
          <w:sz w:val="24"/>
          <w:szCs w:val="24"/>
        </w:rPr>
        <w:t xml:space="preserve">Event-Driven Architecture: FHIR Subscriptions</w:t>
      </w:r>
    </w:p>
    <w:p>
      <w:pPr>
        <w:spacing w:after="120" w:line="276"/>
      </w:pPr>
      <w:r>
        <w:rPr>
          <w:sz w:val="22"/>
          <w:szCs w:val="22"/>
        </w:rPr>
        <w:t xml:space="preserve">The platform uses FHIR Subscriptions (R4 Topic-based) to replace polling with event-driven data flow:</w:t>
      </w:r>
    </w:p>
    <w:p>
      <w:pPr>
        <w:pStyle w:val="ListParagraph"/>
        <w:numPr>
          <w:ilvl w:val="0"/>
          <w:numId w:val="2"/>
        </w:numPr>
        <w:spacing w:after="60" w:line="276"/>
      </w:pPr>
      <w:r>
        <w:rPr>
          <w:b/>
          <w:bCs/>
          <w:sz w:val="22"/>
          <w:szCs w:val="22"/>
        </w:rPr>
        <w:t xml:space="preserve">Inbound: </w:t>
      </w:r>
      <w:r>
        <w:rPr>
          <w:sz w:val="22"/>
          <w:szCs w:val="22"/>
        </w:rPr>
        <w:t xml:space="preserve">BCH posts a discharge notification (ADT event) → FHIR Subscription fires → platform receives Patient + Encounter + Condition resources → routes to appropriate cooperative based on patient ZIP code and membership → initiates Safe Graduation protocol</w:t>
      </w:r>
    </w:p>
    <w:p>
      <w:pPr>
        <w:pStyle w:val="ListParagraph"/>
        <w:numPr>
          <w:ilvl w:val="0"/>
          <w:numId w:val="2"/>
        </w:numPr>
        <w:spacing w:after="60" w:line="276"/>
      </w:pPr>
      <w:r>
        <w:rPr>
          <w:b/>
          <w:bCs/>
          <w:sz w:val="22"/>
          <w:szCs w:val="22"/>
        </w:rPr>
        <w:t xml:space="preserve">Outbound: </w:t>
      </w:r>
      <w:r>
        <w:rPr>
          <w:sz w:val="22"/>
          <w:szCs w:val="22"/>
        </w:rPr>
        <w:t xml:space="preserve">CareOS documents a visit → Encounter resource created → Subscription fires to: ACCESS OAT reporting pipeline, PACE encounter reporting, FFS claims engine, LEAD quality measure aggregator, family dashboard, and cooperative admin dashboard — all simultaneously from one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5FB" w:val="clear"/>
            <w:tcMar>
              <w:top w:type="dxa" w:w="120"/>
              <w:left w:type="dxa" w:w="200"/>
              <w:bottom w:type="dxa" w:w="120"/>
              <w:right w:type="dxa" w:w="200"/>
            </w:tcMar>
          </w:tcPr>
          <w:p>
            <w:r>
              <w:rPr>
                <w:i/>
                <w:iCs/>
                <w:color w:val="1B2A4A"/>
                <w:sz w:val="22"/>
                <w:szCs w:val="22"/>
              </w:rPr>
              <w:t xml:space="preserve">This is the "capture once, route many" principle in action. The FHIR Subscription layer is the architectural mechanism that makes multi-payer billing from a single clinical event possible without duplicate data entry or manual routing.</w:t>
            </w:r>
          </w:p>
        </w:tc>
      </w:tr>
    </w:tbl>
    <w:p>
      <w:r>
        <w:br w:type="page"/>
      </w:r>
    </w:p>
    <w:p>
      <w:pPr>
        <w:pStyle w:val="Heading1"/>
      </w:pPr>
      <w:r>
        <w:t xml:space="preserve">4. Clinical Intelligence: CareOS &amp; the Omaha System</w:t>
      </w:r>
    </w:p>
    <w:p>
      <w:pPr>
        <w:pStyle w:val="Heading2"/>
      </w:pPr>
      <w:r>
        <w:t xml:space="preserve">4.1 The Omaha System as Clinical Foundation</w:t>
      </w:r>
    </w:p>
    <w:p>
      <w:pPr>
        <w:spacing w:after="120" w:line="276"/>
      </w:pPr>
      <w:r>
        <w:rPr>
          <w:sz w:val="22"/>
          <w:szCs w:val="22"/>
        </w:rPr>
        <w:t xml:space="preserve">The Omaha System is a research-based clinical taxonomy recognized by the American Nurses Association since 1992. It is specifically designed for community health, home care, and multidisciplinary practice — the exact clinical context of cooperative care delivery.</w:t>
      </w:r>
    </w:p>
    <w:p>
      <w:pPr>
        <w:spacing w:before="200" w:after="100"/>
      </w:pPr>
      <w:r>
        <w:rPr>
          <w:rFonts w:ascii="Arial" w:cs="Arial" w:eastAsia="Arial" w:hAnsi="Arial"/>
          <w:b/>
          <w:bCs/>
          <w:color w:val="1B2A4A"/>
          <w:sz w:val="24"/>
          <w:szCs w:val="24"/>
        </w:rPr>
        <w:t xml:space="preserve">Four-Level Problem Classification Scheme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200"/>
        <w:gridCol w:w="27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Level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Detail</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Platform Implementation</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1</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Domains (4)</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Environmental, Psychosocial, Physiological, Health Behaviors</w:t>
            </w:r>
          </w:p>
        </w:tc>
        <w:tc>
          <w:tcPr>
            <w:tcW w:type="dxa" w:w="2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Top-level clinical category in patient record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Problems (42)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Neutral areas of concern (Cognition, Nutrition, Pain, etc.)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Primary clinical code assigned to each encounter</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3</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Modifiers</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Nature: Health Promotion, Potential, Actual. Target: Individual, Family, Community</w:t>
            </w:r>
          </w:p>
        </w:tc>
        <w:tc>
          <w:tcPr>
            <w:tcW w:type="dxa" w:w="2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Qualifier on each problem code for severity/scope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Signs/Symptoms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Specific clusters describing the problem (e.g., “difficulty with short-term memory”)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NLP extraction targets from voice documentation</w:t>
            </w:r>
          </w:p>
        </w:tc>
      </w:tr>
    </w:tbl>
    <w:p>
      <w:pPr>
        <w:spacing w:before="100"/>
      </w:pPr>
    </w:p>
    <w:p>
      <w:pPr>
        <w:spacing w:before="200" w:after="100"/>
      </w:pPr>
      <w:r>
        <w:rPr>
          <w:rFonts w:ascii="Arial" w:cs="Arial" w:eastAsia="Arial" w:hAnsi="Arial"/>
          <w:b/>
          <w:bCs/>
          <w:color w:val="1B2A4A"/>
          <w:sz w:val="24"/>
          <w:szCs w:val="24"/>
        </w:rPr>
        <w:t xml:space="preserve">Why Omaha System (Not ICD-10 Alone)</w:t>
      </w:r>
    </w:p>
    <w:p>
      <w:pPr>
        <w:spacing w:after="120" w:line="276"/>
      </w:pPr>
      <w:r>
        <w:rPr>
          <w:sz w:val="22"/>
          <w:szCs w:val="22"/>
        </w:rPr>
        <w:t xml:space="preserve">ICD-10 is a billing taxonomy. The Omaha System is a care taxonomy. ICD-10 tells CMS what to pay for. The Omaha System tells the caregiver what to do. The platform needs both: Omaha System as the clinical documentation standard, with automated ICD-10 crosswalk for claims generation. Research shows that integrating Omaha System risk factors into predictive models boosts hospitalization and ED visit prediction accuracy by up to 18%.</w:t>
      </w:r>
    </w:p>
    <w:p>
      <w:pPr>
        <w:pStyle w:val="Heading2"/>
      </w:pPr>
      <w:r>
        <w:t xml:space="preserve">4.2 CareOS Voice AI Pipeline</w:t>
      </w:r>
    </w:p>
    <w:p>
      <w:pPr>
        <w:spacing w:after="120" w:line="276"/>
      </w:pPr>
      <w:r>
        <w:rPr>
          <w:sz w:val="22"/>
          <w:szCs w:val="22"/>
        </w:rPr>
        <w:t xml:space="preserve">The ambient documentation system is the highest-value and highest-difficulty engineering problem in the platform. It transforms caregiver voice into structured clinical data.</w:t>
      </w:r>
    </w:p>
    <w:p>
      <w:pPr>
        <w:spacing w:before="200" w:after="100"/>
      </w:pPr>
      <w:r>
        <w:rPr>
          <w:rFonts w:ascii="Arial" w:cs="Arial" w:eastAsia="Arial" w:hAnsi="Arial"/>
          <w:b/>
          <w:bCs/>
          <w:color w:val="1B2A4A"/>
          <w:sz w:val="24"/>
          <w:szCs w:val="24"/>
        </w:rPr>
        <w:t xml:space="preserve">Pipeline Stages</w:t>
      </w:r>
    </w:p>
    <w:p>
      <w:pPr>
        <w:pStyle w:val="ListParagraph"/>
        <w:numPr>
          <w:ilvl w:val="0"/>
          <w:numId w:val="2"/>
        </w:numPr>
        <w:spacing w:after="60" w:line="276"/>
      </w:pPr>
      <w:r>
        <w:rPr>
          <w:b/>
          <w:bCs/>
          <w:sz w:val="22"/>
          <w:szCs w:val="22"/>
        </w:rPr>
        <w:t xml:space="preserve">Stage 1 — Ambient Capture: </w:t>
      </w:r>
      <w:r>
        <w:rPr>
          <w:sz w:val="22"/>
          <w:szCs w:val="22"/>
        </w:rPr>
        <w:t xml:space="preserve">Background audio capture during caregiver-patient interaction via mobile device. No active input required from the caregiver.</w:t>
      </w:r>
    </w:p>
    <w:p>
      <w:pPr>
        <w:pStyle w:val="ListParagraph"/>
        <w:numPr>
          <w:ilvl w:val="0"/>
          <w:numId w:val="2"/>
        </w:numPr>
        <w:spacing w:after="60" w:line="276"/>
      </w:pPr>
      <w:r>
        <w:rPr>
          <w:b/>
          <w:bCs/>
          <w:sz w:val="22"/>
          <w:szCs w:val="22"/>
        </w:rPr>
        <w:t xml:space="preserve">Stage 2 — Speaker Diarization: </w:t>
      </w:r>
      <w:r>
        <w:rPr>
          <w:sz w:val="22"/>
          <w:szCs w:val="22"/>
        </w:rPr>
        <w:t xml:space="preserve">Differentiate caregiver voice from patient voice, family member voice, and ambient noise. Critical for clinical accuracy.</w:t>
      </w:r>
    </w:p>
    <w:p>
      <w:pPr>
        <w:pStyle w:val="ListParagraph"/>
        <w:numPr>
          <w:ilvl w:val="0"/>
          <w:numId w:val="2"/>
        </w:numPr>
        <w:spacing w:after="60" w:line="276"/>
      </w:pPr>
      <w:r>
        <w:rPr>
          <w:b/>
          <w:bCs/>
          <w:sz w:val="22"/>
          <w:szCs w:val="22"/>
        </w:rPr>
        <w:t xml:space="preserve">Stage 3 — Clinical Intent Recognition: </w:t>
      </w:r>
      <w:r>
        <w:rPr>
          <w:sz w:val="22"/>
          <w:szCs w:val="22"/>
        </w:rPr>
        <w:t xml:space="preserve">NLP model identifies clinical observations, interventions, and patient responses from the transcribed conversation.</w:t>
      </w:r>
    </w:p>
    <w:p>
      <w:pPr>
        <w:pStyle w:val="ListParagraph"/>
        <w:numPr>
          <w:ilvl w:val="0"/>
          <w:numId w:val="2"/>
        </w:numPr>
        <w:spacing w:after="60" w:line="276"/>
      </w:pPr>
      <w:r>
        <w:rPr>
          <w:b/>
          <w:bCs/>
          <w:sz w:val="22"/>
          <w:szCs w:val="22"/>
        </w:rPr>
        <w:t xml:space="preserve">Stage 4 — Omaha System Mapping: </w:t>
      </w:r>
      <w:r>
        <w:rPr>
          <w:sz w:val="22"/>
          <w:szCs w:val="22"/>
        </w:rPr>
        <w:t xml:space="preserve">Map recognized clinical intents to Omaha System Problem Classification codes (Level 1–4) and Intervention Scheme codes.</w:t>
      </w:r>
    </w:p>
    <w:p>
      <w:pPr>
        <w:pStyle w:val="ListParagraph"/>
        <w:numPr>
          <w:ilvl w:val="0"/>
          <w:numId w:val="2"/>
        </w:numPr>
        <w:spacing w:after="60" w:line="276"/>
      </w:pPr>
      <w:r>
        <w:rPr>
          <w:b/>
          <w:bCs/>
          <w:sz w:val="22"/>
          <w:szCs w:val="22"/>
        </w:rPr>
        <w:t xml:space="preserve">Stage 5 — ICD-10 Crosswalk: </w:t>
      </w:r>
      <w:r>
        <w:rPr>
          <w:sz w:val="22"/>
          <w:szCs w:val="22"/>
        </w:rPr>
        <w:t xml:space="preserve">Translate Omaha System codes to ICD-10-CM codes for claims generation across all five payment rails.</w:t>
      </w:r>
    </w:p>
    <w:p>
      <w:pPr>
        <w:pStyle w:val="ListParagraph"/>
        <w:numPr>
          <w:ilvl w:val="0"/>
          <w:numId w:val="2"/>
        </w:numPr>
        <w:spacing w:after="60" w:line="276"/>
      </w:pPr>
      <w:r>
        <w:rPr>
          <w:b/>
          <w:bCs/>
          <w:sz w:val="22"/>
          <w:szCs w:val="22"/>
        </w:rPr>
        <w:t xml:space="preserve">Stage 6 — Human Review: </w:t>
      </w:r>
      <w:r>
        <w:rPr>
          <w:sz w:val="22"/>
          <w:szCs w:val="22"/>
        </w:rPr>
        <w:t xml:space="preserve">Draft note presented to care coordinator or clinical director for review and approval before it becomes part of the medical record. This is the human-in-the-loop requirement mandated by the Colorado AI Act (SB 24-205), effective June 30, 2026.</w:t>
      </w:r>
    </w:p>
    <w:p>
      <w:pPr>
        <w:pStyle w:val="ListParagraph"/>
        <w:numPr>
          <w:ilvl w:val="0"/>
          <w:numId w:val="2"/>
        </w:numPr>
        <w:spacing w:after="60" w:line="276"/>
      </w:pPr>
      <w:r>
        <w:rPr>
          <w:b/>
          <w:bCs/>
          <w:sz w:val="22"/>
          <w:szCs w:val="22"/>
        </w:rPr>
        <w:t xml:space="preserve">Stage 7 — FHIR Resource Generation: </w:t>
      </w:r>
      <w:r>
        <w:rPr>
          <w:sz w:val="22"/>
          <w:szCs w:val="22"/>
        </w:rPr>
        <w:t xml:space="preserve">Approved note generates Encounter, Observation, Condition, and CarePlan FHIR resources that feed all downstream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5FB" w:val="clear"/>
            <w:tcMar>
              <w:top w:type="dxa" w:w="120"/>
              <w:left w:type="dxa" w:w="200"/>
              <w:bottom w:type="dxa" w:w="120"/>
              <w:right w:type="dxa" w:w="200"/>
            </w:tcMar>
          </w:tcPr>
          <w:p>
            <w:r>
              <w:rPr>
                <w:i/>
                <w:iCs/>
                <w:color w:val="1B2A4A"/>
                <w:sz w:val="22"/>
                <w:szCs w:val="22"/>
              </w:rPr>
              <w:t xml:space="preserve">This pipeline recovers the 30–40% of caregiver shift time currently lost to documentation. At 8 hours/shift, that’s 2.4–3.2 hours per caregiver per day returned to direct patient care. Across 15 caregivers, that’s 36–48 recovered hours per day — the equivalent of 4–6 additional FTE caregivers at zero marginal labor cost.</w:t>
            </w:r>
          </w:p>
        </w:tc>
      </w:tr>
    </w:tbl>
    <w:p>
      <w:pPr>
        <w:pStyle w:val="Heading2"/>
      </w:pPr>
      <w:r>
        <w:t xml:space="preserve">4.3 The b.well Health AI SDK (bailey™) Integration</w:t>
      </w:r>
    </w:p>
    <w:p>
      <w:pPr>
        <w:spacing w:after="120" w:line="276"/>
      </w:pPr>
      <w:r>
        <w:rPr>
          <w:sz w:val="22"/>
          <w:szCs w:val="22"/>
        </w:rPr>
        <w:t xml:space="preserve">The b.well Health AI SDK provides the pre-certified data infrastructure that avoids an 18–24 month custom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Capability</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What It Provides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co-op.care Usage</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13-step Data Refinery</w:t>
            </w:r>
          </w:p>
        </w:tc>
        <w:tc>
          <w:tcPr>
            <w:tcW w:type="dxa" w:w="3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Cleanses, reconciles, standardizes, summarizes, enriches clinical data from 350+ sources</w:t>
            </w:r>
          </w:p>
        </w:tc>
        <w:tc>
          <w:tcPr>
            <w:tcW w:type="dxa" w:w="3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Longitudinal patient records across fragmented provider history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High-density Token Compression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10x reduction in LLM processing costs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Affordable AI inference at scale across 5 payment rails</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Agentic AI Architecture</w:t>
            </w:r>
          </w:p>
        </w:tc>
        <w:tc>
          <w:tcPr>
            <w:tcW w:type="dxa" w:w="3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Multi-agent coordination for scheduling, refills, benefits navigation</w:t>
            </w:r>
          </w:p>
        </w:tc>
        <w:tc>
          <w:tcPr>
            <w:tcW w:type="dxa" w:w="3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Family dashboard: automated appointment scheduling, medication management, insurance navigation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HITRUST-certified Infrastructure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Inherited security compliance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Accelerated HIPAA compliance posture for Phase 1</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2.2M Provider Connectivity</w:t>
            </w:r>
          </w:p>
        </w:tc>
        <w:tc>
          <w:tcPr>
            <w:tcW w:type="dxa" w:w="3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Pre-built data connections</w:t>
            </w:r>
          </w:p>
        </w:tc>
        <w:tc>
          <w:tcPr>
            <w:tcW w:type="dxa" w:w="3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BCH EHR integration, pharmacy data, lab results, claims history</w:t>
            </w:r>
          </w:p>
        </w:tc>
      </w:tr>
    </w:tbl>
    <w:p>
      <w:r>
        <w:br w:type="page"/>
      </w:r>
    </w:p>
    <w:p>
      <w:pPr>
        <w:pStyle w:val="Heading1"/>
      </w:pPr>
      <w:r>
        <w:t xml:space="preserve">5. Multi-Tenant Cooperative Architecture</w:t>
      </w:r>
    </w:p>
    <w:p>
      <w:pPr>
        <w:spacing w:after="120" w:line="276"/>
      </w:pPr>
      <w:r>
        <w:rPr>
          <w:sz w:val="22"/>
          <w:szCs w:val="22"/>
        </w:rPr>
        <w:t xml:space="preserve">The platform serves multiple independent cooperatives from a shared infrastructure. This requires rigorous tenant isolation for PHI while enabling aggregate analytics for the Technologies LLC.</w:t>
      </w:r>
    </w:p>
    <w:p>
      <w:pPr>
        <w:pStyle w:val="Heading2"/>
      </w:pPr>
      <w:r>
        <w:t xml:space="preserve">5.1 Tenant Isolation Model</w:t>
      </w:r>
    </w:p>
    <w:p>
      <w:pPr>
        <w:spacing w:before="200" w:after="100"/>
      </w:pPr>
      <w:r>
        <w:rPr>
          <w:rFonts w:ascii="Arial" w:cs="Arial" w:eastAsia="Arial" w:hAnsi="Arial"/>
          <w:b/>
          <w:bCs/>
          <w:color w:val="1B2A4A"/>
          <w:sz w:val="24"/>
          <w:szCs w:val="24"/>
        </w:rPr>
        <w:t xml:space="preserve">What Is Isolated (Per Cooperative)</w:t>
      </w:r>
    </w:p>
    <w:p>
      <w:pPr>
        <w:pStyle w:val="ListParagraph"/>
        <w:numPr>
          <w:ilvl w:val="0"/>
          <w:numId w:val="2"/>
        </w:numPr>
        <w:spacing w:after="60" w:line="276"/>
      </w:pPr>
      <w:r>
        <w:rPr>
          <w:sz w:val="22"/>
          <w:szCs w:val="22"/>
        </w:rPr>
        <w:t xml:space="preserve">All PHI: patient records, encounter data, assessment results, care plans</w:t>
      </w:r>
    </w:p>
    <w:p>
      <w:pPr>
        <w:pStyle w:val="ListParagraph"/>
        <w:numPr>
          <w:ilvl w:val="0"/>
          <w:numId w:val="2"/>
        </w:numPr>
        <w:spacing w:after="60" w:line="276"/>
      </w:pPr>
      <w:r>
        <w:rPr>
          <w:sz w:val="22"/>
          <w:szCs w:val="22"/>
        </w:rPr>
        <w:t xml:space="preserve">Worker-owner employment data: hours, wages, equity accounts, patronage records</w:t>
      </w:r>
    </w:p>
    <w:p>
      <w:pPr>
        <w:pStyle w:val="ListParagraph"/>
        <w:numPr>
          <w:ilvl w:val="0"/>
          <w:numId w:val="2"/>
        </w:numPr>
        <w:spacing w:after="60" w:line="276"/>
      </w:pPr>
      <w:r>
        <w:rPr>
          <w:sz w:val="22"/>
          <w:szCs w:val="22"/>
        </w:rPr>
        <w:t xml:space="preserve">Consumer-member data: membership status, Time Bank balances, service utilization</w:t>
      </w:r>
    </w:p>
    <w:p>
      <w:pPr>
        <w:pStyle w:val="ListParagraph"/>
        <w:numPr>
          <w:ilvl w:val="0"/>
          <w:numId w:val="2"/>
        </w:numPr>
        <w:spacing w:after="60" w:line="276"/>
      </w:pPr>
      <w:r>
        <w:rPr>
          <w:sz w:val="22"/>
          <w:szCs w:val="22"/>
        </w:rPr>
        <w:t xml:space="preserve">Financial data: billing records, payment receipts, operating accounts</w:t>
      </w:r>
    </w:p>
    <w:p>
      <w:pPr>
        <w:pStyle w:val="ListParagraph"/>
        <w:numPr>
          <w:ilvl w:val="0"/>
          <w:numId w:val="2"/>
        </w:numPr>
        <w:spacing w:after="60" w:line="276"/>
      </w:pPr>
      <w:r>
        <w:rPr>
          <w:sz w:val="22"/>
          <w:szCs w:val="22"/>
        </w:rPr>
        <w:t xml:space="preserve">RBAC policies: role assignments, access permissions</w:t>
      </w:r>
    </w:p>
    <w:p>
      <w:pPr>
        <w:spacing w:before="200" w:after="100"/>
      </w:pPr>
      <w:r>
        <w:rPr>
          <w:rFonts w:ascii="Arial" w:cs="Arial" w:eastAsia="Arial" w:hAnsi="Arial"/>
          <w:b/>
          <w:bCs/>
          <w:color w:val="1B2A4A"/>
          <w:sz w:val="24"/>
          <w:szCs w:val="24"/>
        </w:rPr>
        <w:t xml:space="preserve">What Is Shared (Across Federation)</w:t>
      </w:r>
    </w:p>
    <w:p>
      <w:pPr>
        <w:pStyle w:val="ListParagraph"/>
        <w:numPr>
          <w:ilvl w:val="0"/>
          <w:numId w:val="2"/>
        </w:numPr>
        <w:spacing w:after="60" w:line="276"/>
      </w:pPr>
      <w:r>
        <w:rPr>
          <w:sz w:val="22"/>
          <w:szCs w:val="22"/>
        </w:rPr>
        <w:t xml:space="preserve">De-identified, aggregate clinical data for ML model training (via the de-identification pipeline in Layer 2)</w:t>
      </w:r>
    </w:p>
    <w:p>
      <w:pPr>
        <w:pStyle w:val="ListParagraph"/>
        <w:numPr>
          <w:ilvl w:val="0"/>
          <w:numId w:val="2"/>
        </w:numPr>
        <w:spacing w:after="60" w:line="276"/>
      </w:pPr>
      <w:r>
        <w:rPr>
          <w:sz w:val="22"/>
          <w:szCs w:val="22"/>
        </w:rPr>
        <w:t xml:space="preserve">Platform code, UI components, CareOS voice AI models</w:t>
      </w:r>
    </w:p>
    <w:p>
      <w:pPr>
        <w:pStyle w:val="ListParagraph"/>
        <w:numPr>
          <w:ilvl w:val="0"/>
          <w:numId w:val="2"/>
        </w:numPr>
        <w:spacing w:after="60" w:line="276"/>
      </w:pPr>
      <w:r>
        <w:rPr>
          <w:sz w:val="22"/>
          <w:szCs w:val="22"/>
        </w:rPr>
        <w:t xml:space="preserve">Omaha System taxonomy and ICD-10 crosswalk tables</w:t>
      </w:r>
    </w:p>
    <w:p>
      <w:pPr>
        <w:pStyle w:val="ListParagraph"/>
        <w:numPr>
          <w:ilvl w:val="0"/>
          <w:numId w:val="2"/>
        </w:numPr>
        <w:spacing w:after="60" w:line="276"/>
      </w:pPr>
      <w:r>
        <w:rPr>
          <w:sz w:val="22"/>
          <w:szCs w:val="22"/>
        </w:rPr>
        <w:t xml:space="preserve">Federation-wide quality benchmarks and outcome comparisons</w:t>
      </w:r>
    </w:p>
    <w:p>
      <w:pPr>
        <w:pStyle w:val="ListParagraph"/>
        <w:numPr>
          <w:ilvl w:val="0"/>
          <w:numId w:val="2"/>
        </w:numPr>
        <w:spacing w:after="60" w:line="276"/>
      </w:pPr>
      <w:r>
        <w:rPr>
          <w:sz w:val="22"/>
          <w:szCs w:val="22"/>
        </w:rPr>
        <w:t xml:space="preserve">Shared purchasing contracts (insurance, supplies)</w:t>
      </w:r>
    </w:p>
    <w:p>
      <w:pPr>
        <w:pStyle w:val="Heading2"/>
      </w:pPr>
      <w:r>
        <w:t xml:space="preserve">5.2 Data Flow Architecture</w:t>
      </w:r>
    </w:p>
    <w:p>
      <w:pPr>
        <w:spacing w:after="120" w:line="276"/>
      </w:pPr>
      <w:r>
        <w:rPr>
          <w:sz w:val="22"/>
          <w:szCs w:val="22"/>
        </w:rPr>
        <w:t xml:space="preserve">Two distinct data flows operate simultaneously:</w:t>
      </w:r>
    </w:p>
    <w:p>
      <w:pPr>
        <w:spacing w:before="200" w:after="100"/>
      </w:pPr>
      <w:r>
        <w:rPr>
          <w:rFonts w:ascii="Arial" w:cs="Arial" w:eastAsia="Arial" w:hAnsi="Arial"/>
          <w:b/>
          <w:bCs/>
          <w:color w:val="1B2A4A"/>
          <w:sz w:val="24"/>
          <w:szCs w:val="24"/>
        </w:rPr>
        <w:t xml:space="preserve">Flow A: Clinical Data (Tenant-Scoped)</w:t>
      </w:r>
    </w:p>
    <w:p>
      <w:pPr>
        <w:spacing w:after="120" w:line="276"/>
      </w:pPr>
      <w:r>
        <w:rPr>
          <w:sz w:val="22"/>
          <w:szCs w:val="22"/>
        </w:rPr>
        <w:t xml:space="preserve">Caregiver documents visit via CareOS → Voice AI generates Omaha System codes → Human review → FHIR resources created in cooperative’s tenant → Routes to: cooperative admin dashboard, family dashboard, billing engine (within tenant), care coordinator workqueue</w:t>
      </w:r>
    </w:p>
    <w:p>
      <w:pPr>
        <w:spacing w:before="200" w:after="100"/>
      </w:pPr>
      <w:r>
        <w:rPr>
          <w:rFonts w:ascii="Arial" w:cs="Arial" w:eastAsia="Arial" w:hAnsi="Arial"/>
          <w:b/>
          <w:bCs/>
          <w:color w:val="1B2A4A"/>
          <w:sz w:val="24"/>
          <w:szCs w:val="24"/>
        </w:rPr>
        <w:t xml:space="preserve">Flow B: Analytics Data (Federation-Scoped)</w:t>
      </w:r>
    </w:p>
    <w:p>
      <w:pPr>
        <w:spacing w:after="120" w:line="276"/>
      </w:pPr>
      <w:r>
        <w:rPr>
          <w:sz w:val="22"/>
          <w:szCs w:val="22"/>
        </w:rPr>
        <w:t xml:space="preserve">FHIR resources pass through de-identification pipeline → PHI stripped, statistical noise added where necessary → De-identified data enters LLC’s analytics workspace → Routes to: ML model training, ACCESS OAT aggregate reporting, LEAD quality measure aggregation, actuarial data for captive insurance feasibility, federation-wide quality benchmarking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5FB" w:val="clear"/>
            <w:tcMar>
              <w:top w:type="dxa" w:w="120"/>
              <w:left w:type="dxa" w:w="200"/>
              <w:bottom w:type="dxa" w:w="120"/>
              <w:right w:type="dxa" w:w="200"/>
            </w:tcMar>
          </w:tcPr>
          <w:p>
            <w:r>
              <w:rPr>
                <w:i/>
                <w:iCs/>
                <w:color w:val="1B2A4A"/>
                <w:sz w:val="22"/>
                <w:szCs w:val="22"/>
              </w:rPr>
              <w:t xml:space="preserve">Jacob: the de-identification pipeline is a regulatory boundary, not just a technical one. Data that crosses from Flow A to Flow B must satisfy HIPAA Safe Harbor or Expert Determination de-identification standards. This is auditable. Design it as a formal system boundary with its own logging and compliance documentation.</w:t>
            </w:r>
          </w:p>
        </w:tc>
      </w:tr>
    </w:tbl>
    <w:p>
      <w:pPr>
        <w:pStyle w:val="Heading2"/>
      </w:pPr>
      <w:r>
        <w:t xml:space="preserve">5.3 Cooperative Financial Backend</w:t>
      </w:r>
    </w:p>
    <w:p>
      <w:pPr>
        <w:spacing w:after="120" w:line="276"/>
      </w:pPr>
      <w:r>
        <w:rPr>
          <w:sz w:val="22"/>
          <w:szCs w:val="22"/>
        </w:rPr>
        <w:t xml:space="preserve">Each cooperative has an independent financial system within the platform, designed for cooperative-specific accounting requirements.</w:t>
      </w:r>
    </w:p>
    <w:p>
      <w:pPr>
        <w:spacing w:before="200" w:after="100"/>
      </w:pPr>
      <w:r>
        <w:rPr>
          <w:rFonts w:ascii="Arial" w:cs="Arial" w:eastAsia="Arial" w:hAnsi="Arial"/>
          <w:b/>
          <w:bCs/>
          <w:color w:val="1B2A4A"/>
          <w:sz w:val="24"/>
          <w:szCs w:val="24"/>
        </w:rPr>
        <w:t xml:space="preserve">Patronage Tracking</w:t>
      </w:r>
    </w:p>
    <w:p>
      <w:pPr>
        <w:spacing w:after="120" w:line="276"/>
      </w:pPr>
      <w:r>
        <w:rPr>
          <w:sz w:val="22"/>
          <w:szCs w:val="22"/>
        </w:rPr>
        <w:t xml:space="preserve">Worker-owner patronage is calculated on hours worked. Consumer-member patronage is calculated on service utilization. The mathematical model for patronage dividend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5FB" w:val="clear"/>
            <w:tcMar>
              <w:top w:type="dxa" w:w="120"/>
              <w:left w:type="dxa" w:w="200"/>
              <w:bottom w:type="dxa" w:w="120"/>
              <w:right w:type="dxa" w:w="200"/>
            </w:tcMar>
          </w:tcPr>
          <w:p>
            <w:r>
              <w:rPr>
                <w:i/>
                <w:iCs/>
                <w:color w:val="1B2A4A"/>
                <w:sz w:val="22"/>
                <w:szCs w:val="22"/>
              </w:rPr>
              <w:t xml:space="preserve">D = (H / H_total) × S   where D = member’s dividend, H = member’s hours (or utilization units), H_total = all members’ total, S = net distributable surplus. Per Subchapter T of the IRC, at least 20% of D must be paid in cash; up to 80% may be retained as equity.</w:t>
            </w:r>
          </w:p>
        </w:tc>
      </w:tr>
    </w:tbl>
    <w:p>
      <w:pPr>
        <w:spacing w:before="200" w:after="100"/>
      </w:pPr>
      <w:r>
        <w:rPr>
          <w:rFonts w:ascii="Arial" w:cs="Arial" w:eastAsia="Arial" w:hAnsi="Arial"/>
          <w:b/>
          <w:bCs/>
          <w:color w:val="1B2A4A"/>
          <w:sz w:val="24"/>
          <w:szCs w:val="24"/>
        </w:rPr>
        <w:t xml:space="preserve">Database Schema (Core Tables Per Cooperative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Table</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Key Attributes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Members</w:t>
            </w:r>
          </w:p>
        </w:tc>
        <w:tc>
          <w:tcPr>
            <w:tcW w:type="dxa" w:w="4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MemberID, Type (Worker/Consumer), StartDate, EquityClass, CooperativeID</w:t>
            </w:r>
          </w:p>
        </w:tc>
        <w:tc>
          <w:tcPr>
            <w:tcW w:type="dxa" w:w="3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Central member identity within cooperative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PatronageLog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ActivityID, MemberID, Hours/UtilizationUnits, Period, ProjectValue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Track the “use” of the co-op for surplus distribution</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EquityAccounts</w:t>
            </w:r>
          </w:p>
        </w:tc>
        <w:tc>
          <w:tcPr>
            <w:tcW w:type="dxa" w:w="4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AccountID, MemberID, EquityType, VintageYear, Balance</w:t>
            </w:r>
          </w:p>
        </w:tc>
        <w:tc>
          <w:tcPr>
            <w:tcW w:type="dxa" w:w="3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Equity by vintage year for revolvement scheduling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Distributions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DistID, FiscalYear, CashPortion, RetainedPortion, TaxForm1099PATR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Annual patronage refund records and tax reporting</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LedgerEntries</w:t>
            </w:r>
          </w:p>
        </w:tc>
        <w:tc>
          <w:tcPr>
            <w:tcW w:type="dxa" w:w="4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EntryID, DebitAccount, CreditAccount, Amount, Timestamp</w:t>
            </w:r>
          </w:p>
        </w:tc>
        <w:tc>
          <w:tcPr>
            <w:tcW w:type="dxa" w:w="3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Double-entry atomic primitive; prevents race conditions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Revolvements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RevID, VintageYear, MemberID, Amount, TriggerType, 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Track equity returns by vintage (5–10 year revolvement cycles)</w:t>
            </w:r>
          </w:p>
        </w:tc>
      </w:tr>
    </w:tbl>
    <w:p>
      <w:pPr>
        <w:spacing w:before="100"/>
      </w:pPr>
    </w:p>
    <w:p>
      <w:pPr>
        <w:spacing w:after="120" w:line="276"/>
      </w:pPr>
      <w:r>
        <w:rPr>
          <w:b/>
          <w:bCs/>
          <w:sz w:val="22"/>
          <w:szCs w:val="22"/>
        </w:rPr>
        <w:t xml:space="preserve">Key challenge: </w:t>
      </w:r>
      <w:r>
        <w:rPr>
          <w:sz w:val="22"/>
          <w:szCs w:val="22"/>
        </w:rPr>
        <w:t xml:space="preserve">Equity revolvement by vintage. When the board decides to revolve equity from 2026 issuances, the system must identify all members who earned equity in 2026, calculate each member’s revolvement amount, generate payment instructions, and update their equity accounts — without affecting equity from other vintage years. This is not Phase 1, but the schema must accommodate it from day one.</w:t>
      </w:r>
    </w:p>
    <w:p>
      <w:r>
        <w:br w:type="page"/>
      </w:r>
    </w:p>
    <w:p>
      <w:pPr>
        <w:pStyle w:val="Heading1"/>
      </w:pPr>
      <w:r>
        <w:t xml:space="preserve">6. Regulatory Compliance Architecture</w:t>
      </w:r>
    </w:p>
    <w:p>
      <w:pPr>
        <w:pStyle w:val="Heading2"/>
      </w:pPr>
      <w:r>
        <w:t xml:space="preserve">6.1 HIPAA: The 6-Layer Security Model</w:t>
      </w:r>
    </w:p>
    <w:p>
      <w:pPr>
        <w:spacing w:after="120" w:line="276"/>
      </w:pPr>
      <w:r>
        <w:rPr>
          <w:sz w:val="22"/>
          <w:szCs w:val="22"/>
        </w:rPr>
        <w:t xml:space="preserve">HIPAA compliance is a shared responsibility. The cloud provider secures infrastructure. The Technologies LLC secures the platform. Each cooperative secures its operational use. The architecture document must clearly delineate these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Layer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Responsibility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Key Controls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Owner</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1. Identity Trust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Authentication &amp; authorization</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MFA, RBAC, tenant-scoped access, least privilege</w:t>
            </w:r>
          </w:p>
        </w:tc>
        <w:tc>
          <w:tcPr>
            <w:tcW w:type="dxa" w:w="2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LLC Platform Team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2. PHI Protection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Data encryption &amp; de-identification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AES-256 at rest, TLS 1.2+ in transit, field tokenization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LLC Platform Team</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3. Application Security</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API and application hardening</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API Gateway, rate limiting, consent-aware data sharing</w:t>
            </w:r>
          </w:p>
        </w:tc>
        <w:tc>
          <w:tcPr>
            <w:tcW w:type="dxa" w:w="2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LLC Platform Team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4. Infrastructure Security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Network and cloud hardening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VPC isolation, private subnets, BAA with provider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LLC Platform Team + Cloud Provider</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5. FHIR Integration</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Interoperability security</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SMART on FHIR / OAuth 2.0, USCDI compliance</w:t>
            </w:r>
          </w:p>
        </w:tc>
        <w:tc>
          <w:tcPr>
            <w:tcW w:type="dxa" w:w="2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LLC Platform Team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6. Continuous Governance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Audit and monitoring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Immutable audit logs, access monitoring, breach detection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LLC Platform Team + Cooperative Admins</w:t>
            </w:r>
          </w:p>
        </w:tc>
      </w:tr>
    </w:tbl>
    <w:p>
      <w:pPr>
        <w:pStyle w:val="Heading2"/>
      </w:pPr>
      <w:r>
        <w:t xml:space="preserve">6.2 Colorado AI Act (SB 24-205)</w:t>
      </w:r>
    </w:p>
    <w:p>
      <w:pPr>
        <w:spacing w:after="120" w:line="276"/>
      </w:pPr>
      <w:r>
        <w:rPr>
          <w:b/>
          <w:bCs/>
          <w:sz w:val="22"/>
          <w:szCs w:val="22"/>
        </w:rPr>
        <w:t xml:space="preserve">Effective June 30, 2026. </w:t>
      </w:r>
      <w:r>
        <w:rPr>
          <w:sz w:val="22"/>
          <w:szCs w:val="22"/>
        </w:rPr>
        <w:t xml:space="preserve">Because the Act defines healthcare services as a “consequential decision” area, every AI feature in CareOS falls under its jurisdiction.</w:t>
      </w:r>
    </w:p>
    <w:p>
      <w:pPr>
        <w:spacing w:before="200" w:after="100"/>
      </w:pPr>
      <w:r>
        <w:rPr>
          <w:rFonts w:ascii="Arial" w:cs="Arial" w:eastAsia="Arial" w:hAnsi="Arial"/>
          <w:b/>
          <w:bCs/>
          <w:color w:val="1B2A4A"/>
          <w:sz w:val="24"/>
          <w:szCs w:val="24"/>
        </w:rPr>
        <w:t xml:space="preserve">Compliance Requirements Built into Architecture</w:t>
      </w:r>
    </w:p>
    <w:p>
      <w:pPr>
        <w:pStyle w:val="ListParagraph"/>
        <w:numPr>
          <w:ilvl w:val="0"/>
          <w:numId w:val="2"/>
        </w:numPr>
        <w:spacing w:after="60" w:line="276"/>
      </w:pPr>
      <w:r>
        <w:rPr>
          <w:b/>
          <w:bCs/>
          <w:sz w:val="22"/>
          <w:szCs w:val="22"/>
        </w:rPr>
        <w:t xml:space="preserve">Impact Assessment: </w:t>
      </w:r>
      <w:r>
        <w:rPr>
          <w:sz w:val="22"/>
          <w:szCs w:val="22"/>
        </w:rPr>
        <w:t xml:space="preserve">Formal evaluation before deployment, annually, and within 90 days of any substantial AI model modification. The platform must generate impact assessment documentation automatically.</w:t>
      </w:r>
    </w:p>
    <w:p>
      <w:pPr>
        <w:pStyle w:val="ListParagraph"/>
        <w:numPr>
          <w:ilvl w:val="0"/>
          <w:numId w:val="2"/>
        </w:numPr>
        <w:spacing w:after="60" w:line="276"/>
      </w:pPr>
      <w:r>
        <w:rPr>
          <w:b/>
          <w:bCs/>
          <w:sz w:val="22"/>
          <w:szCs w:val="22"/>
        </w:rPr>
        <w:t xml:space="preserve">Transparency Statement: </w:t>
      </w:r>
      <w:r>
        <w:rPr>
          <w:sz w:val="22"/>
          <w:szCs w:val="22"/>
        </w:rPr>
        <w:t xml:space="preserve">Publicly available summary of all AI systems used and risk management strategies. Built into the platform’s public documentation.</w:t>
      </w:r>
    </w:p>
    <w:p>
      <w:pPr>
        <w:pStyle w:val="ListParagraph"/>
        <w:numPr>
          <w:ilvl w:val="0"/>
          <w:numId w:val="2"/>
        </w:numPr>
        <w:spacing w:after="60" w:line="276"/>
      </w:pPr>
      <w:r>
        <w:rPr>
          <w:b/>
          <w:bCs/>
          <w:sz w:val="22"/>
          <w:szCs w:val="22"/>
        </w:rPr>
        <w:t xml:space="preserve">Consumer Disclosure: </w:t>
      </w:r>
      <w:r>
        <w:rPr>
          <w:sz w:val="22"/>
          <w:szCs w:val="22"/>
        </w:rPr>
        <w:t xml:space="preserve">Every interaction where AI influences a consequential decision must disclose this to the consumer. Built into CareOS UI.</w:t>
      </w:r>
    </w:p>
    <w:p>
      <w:pPr>
        <w:pStyle w:val="ListParagraph"/>
        <w:numPr>
          <w:ilvl w:val="0"/>
          <w:numId w:val="2"/>
        </w:numPr>
        <w:spacing w:after="60" w:line="276"/>
      </w:pPr>
      <w:r>
        <w:rPr>
          <w:b/>
          <w:bCs/>
          <w:sz w:val="22"/>
          <w:szCs w:val="22"/>
        </w:rPr>
        <w:t xml:space="preserve">Human-in-the-Loop: </w:t>
      </w:r>
      <w:r>
        <w:rPr>
          <w:sz w:val="22"/>
          <w:szCs w:val="22"/>
        </w:rPr>
        <w:t xml:space="preserve">AI-generated clinical notes are DRAFTS until a human reviewer approves them. The architecture enforces this: no AI-generated Encounter resource can be finalized without a human approval event logged.</w:t>
      </w:r>
    </w:p>
    <w:p>
      <w:pPr>
        <w:pStyle w:val="ListParagraph"/>
        <w:numPr>
          <w:ilvl w:val="0"/>
          <w:numId w:val="2"/>
        </w:numPr>
        <w:spacing w:after="60" w:line="276"/>
      </w:pPr>
      <w:r>
        <w:rPr>
          <w:b/>
          <w:bCs/>
          <w:sz w:val="22"/>
          <w:szCs w:val="22"/>
        </w:rPr>
        <w:t xml:space="preserve">Data Correction Right: </w:t>
      </w:r>
      <w:r>
        <w:rPr>
          <w:sz w:val="22"/>
          <w:szCs w:val="22"/>
        </w:rPr>
        <w:t xml:space="preserve">Consumers can correct personal data used in AI decisions. The platform must support member-initiated data correction workflows with audit trails.</w:t>
      </w:r>
    </w:p>
    <w:p>
      <w:pPr>
        <w:pStyle w:val="ListParagraph"/>
        <w:numPr>
          <w:ilvl w:val="0"/>
          <w:numId w:val="2"/>
        </w:numPr>
        <w:spacing w:after="60" w:line="276"/>
      </w:pPr>
      <w:r>
        <w:rPr>
          <w:b/>
          <w:bCs/>
          <w:sz w:val="22"/>
          <w:szCs w:val="22"/>
        </w:rPr>
        <w:t xml:space="preserve">AG Notification: </w:t>
      </w:r>
      <w:r>
        <w:rPr>
          <w:sz w:val="22"/>
          <w:szCs w:val="22"/>
        </w:rPr>
        <w:t xml:space="preserve">Any discovery of algorithmic discrimination must be disclosed within 90 days. The platform must include bias monitoring dashboards that flag statistical anomalies in AI outputs across demographic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5FB" w:val="clear"/>
            <w:tcMar>
              <w:top w:type="dxa" w:w="120"/>
              <w:left w:type="dxa" w:w="200"/>
              <w:bottom w:type="dxa" w:w="120"/>
              <w:right w:type="dxa" w:w="200"/>
            </w:tcMar>
          </w:tcPr>
          <w:p>
            <w:r>
              <w:rPr>
                <w:i/>
                <w:iCs/>
                <w:color w:val="1B2A4A"/>
                <w:sz w:val="22"/>
                <w:szCs w:val="22"/>
              </w:rPr>
              <w:t xml:space="preserve">Competitive advantage: most health AI platforms will scramble to comply after June 30. co-op.care builds compliance into the architecture from day one. This becomes a selling point for BCH, BVSD, and every institutional partner.</w:t>
            </w:r>
          </w:p>
        </w:tc>
      </w:tr>
    </w:tbl>
    <w:p>
      <w:r>
        <w:br w:type="page"/>
      </w:r>
    </w:p>
    <w:p>
      <w:pPr>
        <w:pStyle w:val="Heading1"/>
      </w:pPr>
      <w:r>
        <w:t xml:space="preserve">7. Phase 1 Scope: What Cohesion Builds (5 Weeks)</w:t>
      </w:r>
    </w:p>
    <w:p>
      <w:pPr>
        <w:spacing w:after="120" w:line="276"/>
      </w:pPr>
      <w:r>
        <w:rPr>
          <w:sz w:val="22"/>
          <w:szCs w:val="22"/>
        </w:rPr>
        <w:t xml:space="preserve">Phase 1 delivers the minimum infrastructure required for three outcomes: (1) live CareCheck assessments collecting member data, (2) HIPAA-compliant cloud infrastructure that demonstrates technical credibility to CMS, and (3) a production architecture document that serves as the ACCESS application technical narrative.</w:t>
      </w:r>
    </w:p>
    <w:p>
      <w:pPr>
        <w:pStyle w:val="Heading2"/>
      </w:pPr>
      <w:r>
        <w:t xml:space="preserve">7.1 Phase 1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Deliverable</w:t>
            </w:r>
          </w:p>
        </w:tc>
        <w:tc>
          <w:tcPr>
            <w:tcW w:type="dxa" w:w="4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Description</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Serves</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HIPAA-compliant cloud infrastructure</w:t>
            </w:r>
          </w:p>
        </w:tc>
        <w:tc>
          <w:tcPr>
            <w:tcW w:type="dxa" w:w="4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Encrypted storage, audit logging, RBAC, BAA with cloud provider, tenant isolation foundation</w:t>
            </w:r>
          </w:p>
        </w:tc>
        <w:tc>
          <w:tcPr>
            <w:tcW w:type="dxa" w:w="2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All payment rails, all partners, all compliance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CII Assessment (live, web)</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12-question Caregiver Intensity Index with scoring engine, data capture, aggregate reporting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BVSD employer pilot, member enrollment, clinical triage</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CRI Assessment (live, web)</w:t>
            </w:r>
          </w:p>
        </w:tc>
        <w:tc>
          <w:tcPr>
            <w:tcW w:type="dxa" w:w="4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14-question Care Readiness Index with fall-risk weighting (1.1x), scoring, data capture</w:t>
            </w:r>
          </w:p>
        </w:tc>
        <w:tc>
          <w:tcPr>
            <w:tcW w:type="dxa" w:w="2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BCH Safe Graduation, LEAD falls prevention, clinical triage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Production Architecture Document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Full architecture specification with diagrams, security posture, interoperability approach, clinical data standards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ACCESS application (April 1), BCH technical conversations, investor materials</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Founding member deposit flow</w:t>
            </w:r>
          </w:p>
        </w:tc>
        <w:tc>
          <w:tcPr>
            <w:tcW w:type="dxa" w:w="4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Secure $100 payment collection integrated with Elevations Credit Union escrow</w:t>
            </w:r>
          </w:p>
        </w:tc>
        <w:tc>
          <w:tcPr>
            <w:tcW w:type="dxa" w:w="2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200-family density threshold, community proof for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Multi-tenant foundation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Database schema and authorization framework that supports per-cooperative isolation from inception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Federation scaling (Boulder → Louisville → Longmont)</w:t>
            </w:r>
          </w:p>
        </w:tc>
      </w:tr>
    </w:tbl>
    <w:p>
      <w:pPr>
        <w:pStyle w:val="Heading2"/>
      </w:pPr>
      <w:r>
        <w:t xml:space="preserve">7.2 Phase 1 Does NOT Include (Deferred to Phase 1+)</w:t>
      </w:r>
    </w:p>
    <w:p>
      <w:pPr>
        <w:pStyle w:val="ListParagraph"/>
        <w:numPr>
          <w:ilvl w:val="0"/>
          <w:numId w:val="2"/>
        </w:numPr>
        <w:spacing w:after="60" w:line="276"/>
      </w:pPr>
      <w:r>
        <w:rPr>
          <w:sz w:val="22"/>
          <w:szCs w:val="22"/>
        </w:rPr>
        <w:t xml:space="preserve">CareOS Voice AI / ambient documentation (Phase 1+: post-ACCESS, pre-July launch)</w:t>
      </w:r>
    </w:p>
    <w:p>
      <w:pPr>
        <w:pStyle w:val="ListParagraph"/>
        <w:numPr>
          <w:ilvl w:val="0"/>
          <w:numId w:val="2"/>
        </w:numPr>
        <w:spacing w:after="60" w:line="276"/>
      </w:pPr>
      <w:r>
        <w:rPr>
          <w:sz w:val="22"/>
          <w:szCs w:val="22"/>
        </w:rPr>
        <w:t xml:space="preserve">Omaha System coding engine and ICD-10 crosswalk (Phase 1+)</w:t>
      </w:r>
    </w:p>
    <w:p>
      <w:pPr>
        <w:pStyle w:val="ListParagraph"/>
        <w:numPr>
          <w:ilvl w:val="0"/>
          <w:numId w:val="2"/>
        </w:numPr>
        <w:spacing w:after="60" w:line="276"/>
      </w:pPr>
      <w:r>
        <w:rPr>
          <w:sz w:val="22"/>
          <w:szCs w:val="22"/>
        </w:rPr>
        <w:t xml:space="preserve">EVV compliance for Medicaid billing (Phase 1+)</w:t>
      </w:r>
    </w:p>
    <w:p>
      <w:pPr>
        <w:pStyle w:val="ListParagraph"/>
        <w:numPr>
          <w:ilvl w:val="0"/>
          <w:numId w:val="2"/>
        </w:numPr>
        <w:spacing w:after="60" w:line="276"/>
      </w:pPr>
      <w:r>
        <w:rPr>
          <w:sz w:val="22"/>
          <w:szCs w:val="22"/>
        </w:rPr>
        <w:t xml:space="preserve">Family dashboard MVP (Phase 1+)</w:t>
      </w:r>
    </w:p>
    <w:p>
      <w:pPr>
        <w:pStyle w:val="ListParagraph"/>
        <w:numPr>
          <w:ilvl w:val="0"/>
          <w:numId w:val="2"/>
        </w:numPr>
        <w:spacing w:after="60" w:line="276"/>
      </w:pPr>
      <w:r>
        <w:rPr>
          <w:sz w:val="22"/>
          <w:szCs w:val="22"/>
        </w:rPr>
        <w:t xml:space="preserve">Time Bank MVP (Phase 1+)</w:t>
      </w:r>
    </w:p>
    <w:p>
      <w:pPr>
        <w:pStyle w:val="ListParagraph"/>
        <w:numPr>
          <w:ilvl w:val="0"/>
          <w:numId w:val="2"/>
        </w:numPr>
        <w:spacing w:after="60" w:line="276"/>
      </w:pPr>
      <w:r>
        <w:rPr>
          <w:sz w:val="22"/>
          <w:szCs w:val="22"/>
        </w:rPr>
        <w:t xml:space="preserve">FHIR R4 integration with BCH EHR (Phase 1+: requires BCH technical conversation)</w:t>
      </w:r>
    </w:p>
    <w:p>
      <w:pPr>
        <w:pStyle w:val="ListParagraph"/>
        <w:numPr>
          <w:ilvl w:val="0"/>
          <w:numId w:val="2"/>
        </w:numPr>
        <w:spacing w:after="60" w:line="276"/>
      </w:pPr>
      <w:r>
        <w:rPr>
          <w:sz w:val="22"/>
          <w:szCs w:val="22"/>
        </w:rPr>
        <w:t xml:space="preserve">Caregiver matching engine (Phase 1+)</w:t>
      </w:r>
    </w:p>
    <w:p>
      <w:pPr>
        <w:pStyle w:val="ListParagraph"/>
        <w:numPr>
          <w:ilvl w:val="0"/>
          <w:numId w:val="2"/>
        </w:numPr>
        <w:spacing w:after="60" w:line="276"/>
      </w:pPr>
      <w:r>
        <w:rPr>
          <w:sz w:val="22"/>
          <w:szCs w:val="22"/>
        </w:rPr>
        <w:t xml:space="preserve">Multi-payer billing engine: ACCESS, FFS, PACE, LEAD (Phase 1+)</w:t>
      </w:r>
    </w:p>
    <w:p>
      <w:pPr>
        <w:pStyle w:val="ListParagraph"/>
        <w:numPr>
          <w:ilvl w:val="0"/>
          <w:numId w:val="2"/>
        </w:numPr>
        <w:spacing w:after="60" w:line="276"/>
      </w:pPr>
      <w:r>
        <w:rPr>
          <w:sz w:val="22"/>
          <w:szCs w:val="22"/>
        </w:rPr>
        <w:t xml:space="preserve">Cooperative governance tools (Phase 1+)</w:t>
      </w:r>
    </w:p>
    <w:p>
      <w:pPr>
        <w:pStyle w:val="ListParagraph"/>
        <w:numPr>
          <w:ilvl w:val="0"/>
          <w:numId w:val="2"/>
        </w:numPr>
        <w:spacing w:after="60" w:line="276"/>
      </w:pPr>
      <w:r>
        <w:rPr>
          <w:sz w:val="22"/>
          <w:szCs w:val="22"/>
        </w:rPr>
        <w:t xml:space="preserve">Patronage and equity tracking (Phase 1+)</w:t>
      </w:r>
    </w:p>
    <w:p>
      <w:pPr>
        <w:spacing w:after="120" w:line="276"/>
      </w:pPr>
      <w:r>
        <w:rPr>
          <w:sz w:val="22"/>
          <w:szCs w:val="22"/>
        </w:rPr>
        <w:t xml:space="preserve">Phase 1+ gets scoped once the architecture is locked. The architecture document produced in Phase 1 governs every subsequent build decision.</w:t>
      </w:r>
    </w:p>
    <w:p>
      <w:pPr>
        <w:pStyle w:val="Heading1"/>
      </w:pPr>
      <w:r>
        <w:t xml:space="preserve">8. Critical Path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800"/>
        <w:gridCol w:w="19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Date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Milestone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Dependency</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18"/>
                <w:szCs w:val="18"/>
              </w:rPr>
              <w:t xml:space="preserve">Payment Rail Affected</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Mar 7, 2026</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LLC files with Colorado SOS</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None — first domino</w:t>
            </w:r>
          </w:p>
        </w:tc>
        <w:tc>
          <w:tcPr>
            <w:tcW w:type="dxa" w:w="1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All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Mar 7–14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EIN, Elevations bank/escrow, Cohesion Phase 1 begins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LLC active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All</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Mar 14</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Website live, founding family deposits open</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Infrastructure deployed</w:t>
            </w:r>
          </w:p>
        </w:tc>
        <w:tc>
          <w:tcPr>
            <w:tcW w:type="dxa" w:w="1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Rail 5 (private pay)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Mar 14–21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BVSD employer pilot pitch delivered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CII assessment live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Rail 5 (employer B2B)</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Mar 21</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BCH Safe Graduation pitch to Grant Besser</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Architecture doc ready</w:t>
            </w:r>
          </w:p>
        </w:tc>
        <w:tc>
          <w:tcPr>
            <w:tcW w:type="dxa" w:w="1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Rail 2 (FFS), Rail 1 (ACCESS)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Mar 2026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LEAD Model RFA expected; HNACO partner identification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Market research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Rail 3 (LEAD)</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Apr 1, 2026</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bCs/>
                <w:color w:val="C0392B"/>
                <w:sz w:val="18"/>
                <w:szCs w:val="18"/>
              </w:rPr>
              <w:t xml:space="preserve">ACCESS application submitted</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Phase 1 complete, architecture doc, partnership letters</w:t>
            </w:r>
          </w:p>
        </w:tc>
        <w:tc>
          <w:tcPr>
            <w:tcW w:type="dxa" w:w="1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Rail 1 (ACCESS)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May 2026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PECOS enrollment (CMS-855B) submitted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LLC + EIN + NPI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Rail 2 (FFS)</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Jun 2026</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co-op.care Boulder Cooperative forms (RMEOC)</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Operating agreement, bylaws, tax credit application</w:t>
            </w:r>
          </w:p>
        </w:tc>
        <w:tc>
          <w:tcPr>
            <w:tcW w:type="dxa" w:w="1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All cooperative operations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Jul 5, 2026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ACCESS Cohort 1 launches (if approved)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CMS approval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Rail 1 (ACCESS)</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Oct 2026</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90-Day Impact Report generated</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3 months of clinical data</w:t>
            </w:r>
          </w:p>
        </w:tc>
        <w:tc>
          <w:tcPr>
            <w:tcW w:type="dxa" w:w="1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Rail 4 (PACE pitch credential)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Nov 2026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TRU PACE sub-capitation pitch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90-Day Report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Rail 4 (PACE)</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Jan 1, 2027</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LEAD Model launches; ACO REACH ends</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HNACO partnership signed</w:t>
            </w:r>
          </w:p>
        </w:tc>
        <w:tc>
          <w:tcPr>
            <w:tcW w:type="dxa" w:w="1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Rail 3 (LEAD)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Jun 30, 2026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Colorado AI Act effective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Compliance built into Phase 1 architecture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All AI features</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Q1 2028</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Captive insurance feasibility study</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500 families, 18 months FHIR data</w:t>
            </w:r>
          </w:p>
        </w:tc>
        <w:tc>
          <w:tcPr>
            <w:tcW w:type="dxa" w:w="1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b w:val="false"/>
                <w:bCs w:val="false"/>
                <w:color w:val="333333"/>
                <w:sz w:val="18"/>
                <w:szCs w:val="18"/>
              </w:rPr>
              <w:t xml:space="preserve">Comfort Care Protection Plan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2027–2036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LEAD Model operational decade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Ongoing quality and savings performance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18"/>
                <w:szCs w:val="18"/>
              </w:rPr>
              <w:t xml:space="preserve">Rail 3 (LEAD)</w:t>
            </w:r>
          </w:p>
        </w:tc>
      </w:tr>
    </w:tbl>
    <w:p>
      <w:r>
        <w:br w:type="page"/>
      </w:r>
    </w:p>
    <w:p>
      <w:pPr>
        <w:pStyle w:val="Heading1"/>
      </w:pPr>
      <w:r>
        <w:t xml:space="preserve">9. The Architecture Thesis</w:t>
      </w:r>
    </w:p>
    <w:p>
      <w:pPr>
        <w:spacing w:after="120" w:line="276"/>
      </w:pPr>
      <w:r>
        <w:rPr>
          <w:sz w:val="22"/>
          <w:szCs w:val="22"/>
        </w:rPr>
        <w:t xml:space="preserve">Most healthcare platforms are built for a single payer, a single entity, and a single regulatory framework. co-op.care is built for five payment rails, a federation of cooperatives, and a regulatory landscape that includes CMS innovation models, HIPAA, state AI law, cooperative tax law, and captive insurance statutes — simultaneously.</w:t>
      </w:r>
    </w:p>
    <w:p>
      <w:pPr>
        <w:spacing w:after="120" w:line="276"/>
      </w:pPr>
      <w:r>
        <w:rPr>
          <w:sz w:val="22"/>
          <w:szCs w:val="22"/>
        </w:rPr>
        <w:t xml:space="preserve">This complexity is not a liability. It is the moat. No single competitor can replicate a system that requires expertise in healthcare interoperability, clinical taxonomy, cooperative economics, federal payment models, and AI safety regulation. The platform must be built by someone who can hold all of these in their head at once — or at least, who can read this document and see the architecture emerge from the requirements.</w:t>
      </w:r>
    </w:p>
    <w:p>
      <w:pPr>
        <w:spacing w:after="120" w:line="276"/>
      </w:pPr>
      <w:r>
        <w:rPr>
          <w:sz w:val="22"/>
          <w:szCs w:val="22"/>
        </w:rPr>
        <w:t xml:space="preserve">The immediate build is narrow: HIPAA infrastructure, two assessments, a deposit flow, and an architecture document. But every decision in that narrow scope must be made with the full architecture in view. A database schema chosen for Phase 1 convenience that precludes patronage-by-vintage tracking in Phase 1+ is a failure. A FHIR server deployed without subscription support is a failure. An identity layer that doesn't anticipate multi-tenant cooperative isolation is a failure.</w:t>
      </w:r>
    </w:p>
    <w:p>
      <w:pPr>
        <w:spacing w:after="120" w:line="276"/>
      </w:pPr>
      <w:r>
        <w:rPr>
          <w:i/>
          <w:iCs/>
          <w:sz w:val="22"/>
          <w:szCs w:val="22"/>
        </w:rPr>
        <w:t xml:space="preserve">The standard is not "does it work today." The standard is "does it work in 2036, when the LEAD Model is in its tenth year, the federation has 20 cooperatives across Colorado, the captive insurance company is underwriting Age at Home policies, and the ML models have a decade of Omaha System clinical data to train on."</w:t>
      </w:r>
    </w:p>
    <w:p>
      <w:pPr>
        <w:spacing w:after="120" w:line="276"/>
      </w:pPr>
      <w:r>
        <w:rPr>
          <w:sz w:val="22"/>
          <w:szCs w:val="22"/>
        </w:rPr>
        <w:t xml:space="preserve">Build for that.</w:t>
      </w:r>
    </w:p>
    <w:p>
      <w:pPr>
        <w:spacing w:before="200"/>
      </w:pPr>
    </w:p>
    <w:p>
      <w:pPr>
        <w:pBdr>
          <w:top w:val="single" w:color="1B2A4A" w:sz="4" w:space="12"/>
        </w:pBdr>
        <w:spacing w:before="200"/>
      </w:pPr>
      <w:r>
        <w:rPr>
          <w:b/>
          <w:bCs/>
          <w:color w:val="1B2A4A"/>
          <w:sz w:val="24"/>
          <w:szCs w:val="24"/>
        </w:rPr>
        <w:t xml:space="preserve">Blaine Armey</w:t>
      </w:r>
      <w:r>
        <w:rPr>
          <w:color w:val="7F8C8D"/>
          <w:sz w:val="22"/>
          <w:szCs w:val="22"/>
        </w:rPr>
        <w:t xml:space="preserve">  |  Founder, co-op.care Technologies LLC  |  blaine@co-op.care</w:t>
      </w:r>
    </w:p>
    <w:p>
      <w:pPr>
        <w:spacing w:after="100"/>
      </w:pPr>
      <w:r>
        <w:rPr>
          <w:color w:val="7F8C8D"/>
          <w:sz w:val="20"/>
          <w:szCs w:val="20"/>
        </w:rPr>
        <w:t xml:space="preserve">Fellowship-trained orthopedic surgeon  |  20+ years healthcare technology  |  3 strategic exits  |  5 patents  |  Built surgical navigation division to $250M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8C8D"/>
        <w:sz w:val="16"/>
        <w:szCs w:val="16"/>
      </w:rPr>
      <w:t xml:space="preserve">Page </w:t>
    </w:r>
    <w:r>
      <w:rPr>
        <w:color w:val="7F8C8D"/>
        <w:sz w:val="16"/>
        <w:szCs w:val="16"/>
      </w:rPr>
      <w:fldChar w:fldCharType="begin"/>
      <w:instrText xml:space="preserve">PAGE</w:instrText>
      <w:fldChar w:fldCharType="separate"/>
      <w:fldChar w:fldCharType="end"/>
    </w:r>
    <w:r>
      <w:rPr>
        <w:color w:val="7F8C8D"/>
        <w:sz w:val="16"/>
        <w:szCs w:val="16"/>
      </w:rPr>
      <w:t xml:space="preserve">  |  February 26, 2026  |  co-op.care Technologies LLC  |  blaine@co-op.care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43D" w:sz="2" w:space="4"/>
      </w:pBdr>
    </w:pPr>
    <w:r>
      <w:rPr>
        <w:b/>
        <w:bCs/>
        <w:color w:val="1B2A4A"/>
        <w:sz w:val="18"/>
        <w:szCs w:val="18"/>
      </w:rPr>
      <w:t xml:space="preserve">co-op.care Technologies LLC</w:t>
    </w:r>
    <w:r>
      <w:rPr>
        <w:color w:val="7F8C8D"/>
        <w:sz w:val="16"/>
        <w:szCs w:val="16"/>
      </w:rPr>
      <w:t xml:space="preserve">  |  Platform Architecture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2026-02-27T02:36:12.019Z</dcterms:created>
  <dcterms:modified xsi:type="dcterms:W3CDTF">2026-02-27T02:36:12.020Z</dcterms:modified>
</cp:coreProperties>
</file>

<file path=docProps/custom.xml><?xml version="1.0" encoding="utf-8"?>
<Properties xmlns="http://schemas.openxmlformats.org/officeDocument/2006/custom-properties" xmlns:vt="http://schemas.openxmlformats.org/officeDocument/2006/docPropsVTypes"/>
</file>