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1A1A2E"/>
          <w:sz w:val="34"/>
          <w:szCs w:val="34"/>
        </w:rPr>
        <w:t xml:space="preserve">CMS ACCESS Model Application</w:t>
      </w:r>
    </w:p>
    <w:p>
      <w:pPr>
        <w:spacing w:after="40"/>
        <w:jc w:val="center"/>
      </w:pPr>
      <w:r>
        <w:rPr>
          <w:rFonts w:ascii="Arial" w:cs="Arial" w:eastAsia="Arial" w:hAnsi="Arial"/>
          <w:b/>
          <w:bCs/>
          <w:color w:val="0D9488"/>
          <w:sz w:val="28"/>
          <w:szCs w:val="28"/>
        </w:rPr>
        <w:t xml:space="preserve">Care Delivery Narrative</w:t>
      </w:r>
    </w:p>
    <w:p>
      <w:pPr>
        <w:spacing w:after="60"/>
        <w:jc w:val="center"/>
      </w:pPr>
      <w:r>
        <w:rPr>
          <w:rFonts w:ascii="Arial" w:cs="Arial" w:eastAsia="Arial" w:hAnsi="Arial"/>
          <w:b/>
          <w:bCs/>
          <w:color w:val="D4A843"/>
          <w:sz w:val="24"/>
          <w:szCs w:val="24"/>
        </w:rPr>
        <w:t xml:space="preserve">Track: Early Cardio-Kidney-Metabolic (eCKM)</w:t>
      </w:r>
    </w:p>
    <w:p>
      <w:pPr>
        <w:pBdr>
          <w:bottom w:val="single" w:color="0D9488" w:sz="3" w:space="8"/>
        </w:pBdr>
        <w:spacing w:after="200"/>
        <w:jc w:val="center"/>
      </w:pPr>
      <w:r>
        <w:rPr>
          <w:rFonts w:ascii="Arial" w:cs="Arial" w:eastAsia="Arial" w:hAnsi="Arial"/>
          <w:color w:val="6B7280"/>
          <w:sz w:val="20"/>
          <w:szCs w:val="20"/>
        </w:rPr>
        <w:t xml:space="preserve">co-op.care Technologies LLC — Boulder, Colorado</w:t>
      </w:r>
    </w:p>
    <w:p>
      <w:pPr>
        <w:shd w:fill="FEF3C7" w:val="clear"/>
        <w:spacing w:before="100" w:after="100"/>
        <w:ind w:left="360" w:right="360"/>
      </w:pPr>
      <w:r>
        <w:rPr>
          <w:rFonts w:ascii="Arial" w:cs="Arial" w:eastAsia="Arial" w:hAnsi="Arial"/>
          <w:b/>
          <w:bCs/>
          <w:color w:val="DC2626"/>
          <w:sz w:val="20"/>
          <w:szCs w:val="20"/>
        </w:rPr>
        <w:t xml:space="preserve">⚠ DRAFT NOTE FOR JOSH: </w:t>
      </w:r>
      <w:r>
        <w:rPr>
          <w:rFonts w:ascii="Arial" w:cs="Arial" w:eastAsia="Arial" w:hAnsi="Arial"/>
          <w:i/>
          <w:iCs/>
          <w:color w:val="1A1A2E"/>
          <w:sz w:val="20"/>
          <w:szCs w:val="20"/>
        </w:rPr>
        <w:t xml:space="preserve">This document is a working draft to be reviewed, edited, and finalized with Josh Emdur, DO on March 6, 2026. Yellow-highlighted notes indicate sections requiring Josh's clinical input. The April 1, 2026 deadline requires submission within 26 days.</w:t>
      </w:r>
    </w:p>
    <w:p>
      <w:pPr>
        <w:pBdr>
          <w:bottom w:val="single" w:color="0D9488" w:sz="2" w:space="4"/>
        </w:pBdr>
        <w:spacing w:before="300" w:after="160"/>
      </w:pPr>
      <w:r>
        <w:rPr>
          <w:rFonts w:ascii="Arial" w:cs="Arial" w:eastAsia="Arial" w:hAnsi="Arial"/>
          <w:b/>
          <w:bCs/>
          <w:color w:val="0D9488"/>
          <w:sz w:val="26"/>
          <w:szCs w:val="26"/>
        </w:rPr>
        <w:t xml:space="preserve">1. Organization Overview</w:t>
      </w:r>
    </w:p>
    <w:p>
      <w:pPr>
        <w:spacing w:after="120"/>
        <w:jc w:val="left"/>
      </w:pPr>
      <w:r>
        <w:rPr>
          <w:rFonts w:ascii="Arial" w:cs="Arial" w:eastAsia="Arial" w:hAnsi="Arial"/>
          <w:b w:val="false"/>
          <w:bCs w:val="false"/>
          <w:i w:val="false"/>
          <w:iCs w:val="false"/>
          <w:color w:val="1A1A2E"/>
          <w:sz w:val="22"/>
          <w:szCs w:val="22"/>
        </w:rPr>
        <w:t xml:space="preserve">co-op.care Technologies LLC is a worker-owned home care cooperative launching in Boulder, Colorado in March 2026. The organization provides aging-in-place care services combining professional caregiver observation, clinical AI documentation, and physician oversight to deliver technology-supported chronic condition management for Medicare beneficiaries.</w:t>
      </w:r>
    </w:p>
    <w:p>
      <w:pPr>
        <w:spacing w:after="120"/>
        <w:jc w:val="left"/>
      </w:pPr>
      <w:r>
        <w:rPr>
          <w:rFonts w:ascii="Arial" w:cs="Arial" w:eastAsia="Arial" w:hAnsi="Arial"/>
          <w:b w:val="false"/>
          <w:bCs w:val="false"/>
          <w:i w:val="false"/>
          <w:iCs w:val="false"/>
          <w:color w:val="1A1A2E"/>
          <w:sz w:val="22"/>
          <w:szCs w:val="22"/>
        </w:rPr>
        <w:t xml:space="preserve">The organization operates under a federated "Hard Shell / Soft Center" architecture: co-op.care Technologies LLC (the national technology and IP entity) provides the CareOS clinical AI platform, while a local cooperative (co-op.care Boulder) employs W-2 caregivers who deliver daily in-home care and generate continuous clinical observations.</w:t>
      </w:r>
    </w:p>
    <w:p>
      <w:pPr>
        <w:spacing w:before="200" w:after="100"/>
      </w:pPr>
      <w:r>
        <w:rPr>
          <w:rFonts w:ascii="Arial" w:cs="Arial" w:eastAsia="Arial" w:hAnsi="Arial"/>
          <w:b/>
          <w:bCs/>
          <w:color w:val="1A1A2E"/>
          <w:sz w:val="22"/>
          <w:szCs w:val="22"/>
        </w:rPr>
        <w:t xml:space="preserve">Designated Clinical Director</w:t>
      </w:r>
    </w:p>
    <w:p>
      <w:pPr>
        <w:spacing w:after="120"/>
        <w:jc w:val="left"/>
      </w:pPr>
      <w:r>
        <w:rPr>
          <w:rFonts w:ascii="Arial" w:cs="Arial" w:eastAsia="Arial" w:hAnsi="Arial"/>
          <w:b w:val="false"/>
          <w:bCs w:val="false"/>
          <w:i w:val="false"/>
          <w:iCs w:val="false"/>
          <w:color w:val="1A1A2E"/>
          <w:sz w:val="22"/>
          <w:szCs w:val="22"/>
        </w:rPr>
        <w:t xml:space="preserve">Josh Emdur, DO, serves as the designated physician Clinical Director. Dr. Emdur is a board-certified osteopathic physician with 18 years of experience as a hospitalist at Boulder Community Health, and serves as Chief Medical Officer of Automate Clinic, a physician oversight platform for AI clinical workflows. He holds medical licenses in all 50 states and has extensive experience in technology-enabled physician oversight at scale (former CMO, SteadyMD).</w:t>
      </w:r>
    </w:p>
    <w:p>
      <w:pPr>
        <w:shd w:fill="FEF3C7" w:val="clear"/>
        <w:spacing w:before="100" w:after="100"/>
        <w:ind w:left="360" w:right="360"/>
      </w:pPr>
      <w:r>
        <w:rPr>
          <w:rFonts w:ascii="Arial" w:cs="Arial" w:eastAsia="Arial" w:hAnsi="Arial"/>
          <w:b/>
          <w:bCs/>
          <w:color w:val="DC2626"/>
          <w:sz w:val="20"/>
          <w:szCs w:val="20"/>
        </w:rPr>
        <w:t xml:space="preserve">⚠ DRAFT NOTE FOR JOSH: </w:t>
      </w:r>
      <w:r>
        <w:rPr>
          <w:rFonts w:ascii="Arial" w:cs="Arial" w:eastAsia="Arial" w:hAnsi="Arial"/>
          <w:i/>
          <w:iCs/>
          <w:color w:val="1A1A2E"/>
          <w:sz w:val="20"/>
          <w:szCs w:val="20"/>
        </w:rPr>
        <w:t xml:space="preserve">Josh: Please confirm your preferred title, board certifications, and any additional credentials to include here. Also confirm your current Medicare enrollment status (through BCH or Automate Clinic) and NPI number.</w:t>
      </w:r>
    </w:p>
    <w:p>
      <w:pPr>
        <w:pBdr>
          <w:bottom w:val="single" w:color="0D9488" w:sz="2" w:space="4"/>
        </w:pBdr>
        <w:spacing w:before="300" w:after="160"/>
      </w:pPr>
      <w:r>
        <w:rPr>
          <w:rFonts w:ascii="Arial" w:cs="Arial" w:eastAsia="Arial" w:hAnsi="Arial"/>
          <w:b/>
          <w:bCs/>
          <w:color w:val="0D9488"/>
          <w:sz w:val="26"/>
          <w:szCs w:val="26"/>
        </w:rPr>
        <w:t xml:space="preserve">2. Clinical Track Selection: eCKM</w:t>
      </w:r>
    </w:p>
    <w:p>
      <w:pPr>
        <w:spacing w:after="120"/>
        <w:jc w:val="left"/>
      </w:pPr>
      <w:r>
        <w:rPr>
          <w:rFonts w:ascii="Arial" w:cs="Arial" w:eastAsia="Arial" w:hAnsi="Arial"/>
          <w:b w:val="false"/>
          <w:bCs w:val="false"/>
          <w:i w:val="false"/>
          <w:iCs w:val="false"/>
          <w:color w:val="1A1A2E"/>
          <w:sz w:val="22"/>
          <w:szCs w:val="22"/>
        </w:rPr>
        <w:t xml:space="preserve">co-op.care applies to participate in the Early Cardio-Kidney-Metabolic (eCKM) track, targeting the following qualifying conditions:</w:t>
      </w:r>
    </w:p>
    <w:p>
      <w:pPr>
        <w:pStyle w:val="ListParagraph"/>
        <w:numPr>
          <w:ilvl w:val="0"/>
          <w:numId w:val="2"/>
        </w:numPr>
        <w:spacing w:after="60"/>
      </w:pPr>
      <w:r>
        <w:rPr>
          <w:rFonts w:ascii="Arial" w:cs="Arial" w:eastAsia="Arial" w:hAnsi="Arial"/>
          <w:color w:val="1A1A2E"/>
          <w:sz w:val="21"/>
          <w:szCs w:val="21"/>
        </w:rPr>
        <w:t xml:space="preserve">Hypertension (high blood pressure)</w:t>
      </w:r>
    </w:p>
    <w:p>
      <w:pPr>
        <w:pStyle w:val="ListParagraph"/>
        <w:numPr>
          <w:ilvl w:val="0"/>
          <w:numId w:val="2"/>
        </w:numPr>
        <w:spacing w:after="60"/>
      </w:pPr>
      <w:r>
        <w:rPr>
          <w:rFonts w:ascii="Arial" w:cs="Arial" w:eastAsia="Arial" w:hAnsi="Arial"/>
          <w:color w:val="1A1A2E"/>
          <w:sz w:val="21"/>
          <w:szCs w:val="21"/>
        </w:rPr>
        <w:t xml:space="preserve">Dyslipidemia (high or abnormal lipids, including cholesterol)</w:t>
      </w:r>
    </w:p>
    <w:p>
      <w:pPr>
        <w:pStyle w:val="ListParagraph"/>
        <w:numPr>
          <w:ilvl w:val="0"/>
          <w:numId w:val="2"/>
        </w:numPr>
        <w:spacing w:after="60"/>
      </w:pPr>
      <w:r>
        <w:rPr>
          <w:rFonts w:ascii="Arial" w:cs="Arial" w:eastAsia="Arial" w:hAnsi="Arial"/>
          <w:color w:val="1A1A2E"/>
          <w:sz w:val="21"/>
          <w:szCs w:val="21"/>
        </w:rPr>
        <w:t xml:space="preserve">Obesity or overweight with marker of central adiposity</w:t>
      </w:r>
    </w:p>
    <w:p>
      <w:pPr>
        <w:pStyle w:val="ListParagraph"/>
        <w:numPr>
          <w:ilvl w:val="0"/>
          <w:numId w:val="2"/>
        </w:numPr>
        <w:spacing w:after="60"/>
      </w:pPr>
      <w:r>
        <w:rPr>
          <w:rFonts w:ascii="Arial" w:cs="Arial" w:eastAsia="Arial" w:hAnsi="Arial"/>
          <w:color w:val="1A1A2E"/>
          <w:sz w:val="21"/>
          <w:szCs w:val="21"/>
        </w:rPr>
        <w:t xml:space="preserve">Prediabetes</w:t>
      </w:r>
    </w:p>
    <w:p>
      <w:pPr>
        <w:spacing w:before="200" w:after="100"/>
      </w:pPr>
      <w:r>
        <w:rPr>
          <w:rFonts w:ascii="Arial" w:cs="Arial" w:eastAsia="Arial" w:hAnsi="Arial"/>
          <w:b/>
          <w:bCs/>
          <w:color w:val="1A1A2E"/>
          <w:sz w:val="22"/>
          <w:szCs w:val="22"/>
        </w:rPr>
        <w:t xml:space="preserve">Rationale for eCKM Track Selection</w:t>
      </w:r>
    </w:p>
    <w:p>
      <w:pPr>
        <w:spacing w:after="120"/>
        <w:jc w:val="left"/>
      </w:pPr>
      <w:r>
        <w:rPr>
          <w:rFonts w:ascii="Arial" w:cs="Arial" w:eastAsia="Arial" w:hAnsi="Arial"/>
          <w:b w:val="false"/>
          <w:bCs w:val="false"/>
          <w:i w:val="false"/>
          <w:iCs w:val="false"/>
          <w:color w:val="1A1A2E"/>
          <w:sz w:val="22"/>
          <w:szCs w:val="22"/>
        </w:rPr>
        <w:t xml:space="preserve">The eCKM conditions are the most prevalent chronic conditions in the aging population receiving home care services. Our Caregiver Intensity Index (CII) and Care Readiness Index (CRI) assessments already capture the risk factors, functional limitations, and behavioral indicators that correlate with eCKM condition progression. Daily in-home caregiver observations provide continuous data on medication adherence, dietary patterns, physical activity, weight changes, and symptom progression that is unavailable through traditional office-based care.</w:t>
      </w:r>
    </w:p>
    <w:p>
      <w:pPr>
        <w:shd w:fill="FEF3C7" w:val="clear"/>
        <w:spacing w:before="100" w:after="100"/>
        <w:ind w:left="360" w:right="360"/>
      </w:pPr>
      <w:r>
        <w:rPr>
          <w:rFonts w:ascii="Arial" w:cs="Arial" w:eastAsia="Arial" w:hAnsi="Arial"/>
          <w:b/>
          <w:bCs/>
          <w:color w:val="DC2626"/>
          <w:sz w:val="20"/>
          <w:szCs w:val="20"/>
        </w:rPr>
        <w:t xml:space="preserve">⚠ DRAFT NOTE FOR JOSH: </w:t>
      </w:r>
      <w:r>
        <w:rPr>
          <w:rFonts w:ascii="Arial" w:cs="Arial" w:eastAsia="Arial" w:hAnsi="Arial"/>
          <w:i/>
          <w:iCs/>
          <w:color w:val="1A1A2E"/>
          <w:sz w:val="20"/>
          <w:szCs w:val="20"/>
        </w:rPr>
        <w:t xml:space="preserve">Josh: Does eCKM make the most clinical sense for our patient population? Should we also consider applying for CKM (diabetes, CKD, ASCVD) given the overlap with aging patients? Any concerns about the outcome targets?</w:t>
      </w:r>
    </w:p>
    <w:p>
      <w:pPr>
        <w:pBdr>
          <w:bottom w:val="single" w:color="0D9488" w:sz="2" w:space="4"/>
        </w:pBdr>
        <w:spacing w:before="300" w:after="160"/>
      </w:pPr>
      <w:r>
        <w:rPr>
          <w:rFonts w:ascii="Arial" w:cs="Arial" w:eastAsia="Arial" w:hAnsi="Arial"/>
          <w:b/>
          <w:bCs/>
          <w:color w:val="0D9488"/>
          <w:sz w:val="26"/>
          <w:szCs w:val="26"/>
        </w:rPr>
        <w:t xml:space="preserve">3. Care Delivery Model</w:t>
      </w:r>
    </w:p>
    <w:p>
      <w:pPr>
        <w:spacing w:after="120"/>
        <w:jc w:val="left"/>
      </w:pPr>
      <w:r>
        <w:rPr>
          <w:rFonts w:ascii="Arial" w:cs="Arial" w:eastAsia="Arial" w:hAnsi="Arial"/>
          <w:b w:val="false"/>
          <w:bCs w:val="false"/>
          <w:i w:val="false"/>
          <w:iCs w:val="false"/>
          <w:color w:val="1A1A2E"/>
          <w:sz w:val="22"/>
          <w:szCs w:val="22"/>
        </w:rPr>
        <w:t xml:space="preserve">co-op.care delivers a 4-layer clinical safety model that integrates technology-supported care with continuous human observation and physician oversight:</w:t>
      </w:r>
    </w:p>
    <w:p>
      <w:pPr>
        <w:spacing w:before="200" w:after="100"/>
      </w:pPr>
      <w:r>
        <w:rPr>
          <w:rFonts w:ascii="Arial" w:cs="Arial" w:eastAsia="Arial" w:hAnsi="Arial"/>
          <w:b/>
          <w:bCs/>
          <w:color w:val="1A1A2E"/>
          <w:sz w:val="22"/>
          <w:szCs w:val="22"/>
        </w:rPr>
        <w:t xml:space="preserve">Layer 1: CareOS Clinical AI Platform</w:t>
      </w:r>
    </w:p>
    <w:p>
      <w:pPr>
        <w:spacing w:after="120"/>
        <w:jc w:val="left"/>
      </w:pPr>
      <w:r>
        <w:rPr>
          <w:rFonts w:ascii="Arial" w:cs="Arial" w:eastAsia="Arial" w:hAnsi="Arial"/>
          <w:b w:val="false"/>
          <w:bCs w:val="false"/>
          <w:i w:val="false"/>
          <w:iCs w:val="false"/>
          <w:color w:val="1A1A2E"/>
          <w:sz w:val="22"/>
          <w:szCs w:val="22"/>
        </w:rPr>
        <w:t xml:space="preserve">The CareOS platform is a clinical AI engine that processes daily caregiver shift notes through a 5-stage NLP pipeline:</w:t>
      </w:r>
    </w:p>
    <w:p>
      <w:pPr>
        <w:pStyle w:val="ListParagraph"/>
        <w:numPr>
          <w:ilvl w:val="0"/>
          <w:numId w:val="3"/>
        </w:numPr>
        <w:spacing w:after="60"/>
      </w:pPr>
      <w:r>
        <w:rPr>
          <w:rFonts w:ascii="Arial" w:cs="Arial" w:eastAsia="Arial" w:hAnsi="Arial"/>
          <w:b/>
          <w:bCs/>
          <w:color w:val="1A1A2E"/>
          <w:sz w:val="21"/>
          <w:szCs w:val="21"/>
        </w:rPr>
        <w:t xml:space="preserve">Data Capture: </w:t>
      </w:r>
      <w:r>
        <w:rPr>
          <w:rFonts w:ascii="Arial" w:cs="Arial" w:eastAsia="Arial" w:hAnsi="Arial"/>
          <w:color w:val="1A1A2E"/>
          <w:sz w:val="21"/>
          <w:szCs w:val="21"/>
        </w:rPr>
        <w:t xml:space="preserve">Caregiver dictates or types shift notes via mobile app. GPS and timestamp auto-recorded for Electronic Visit Verification (EVV).</w:t>
      </w:r>
    </w:p>
    <w:p>
      <w:pPr>
        <w:pStyle w:val="ListParagraph"/>
        <w:numPr>
          <w:ilvl w:val="0"/>
          <w:numId w:val="3"/>
        </w:numPr>
        <w:spacing w:after="60"/>
      </w:pPr>
      <w:r>
        <w:rPr>
          <w:rFonts w:ascii="Arial" w:cs="Arial" w:eastAsia="Arial" w:hAnsi="Arial"/>
          <w:b/>
          <w:bCs/>
          <w:color w:val="1A1A2E"/>
          <w:sz w:val="21"/>
          <w:szCs w:val="21"/>
        </w:rPr>
        <w:t xml:space="preserve">NLP Extraction: </w:t>
      </w:r>
      <w:r>
        <w:rPr>
          <w:rFonts w:ascii="Arial" w:cs="Arial" w:eastAsia="Arial" w:hAnsi="Arial"/>
          <w:color w:val="1A1A2E"/>
          <w:sz w:val="21"/>
          <w:szCs w:val="21"/>
        </w:rPr>
        <w:t xml:space="preserve">GPT-4o-mini with retrieval-augmented generation extracts activities, vitals, symptoms, and behavioral observations into structured JSON (F1 accuracy = 0.90).</w:t>
      </w:r>
    </w:p>
    <w:p>
      <w:pPr>
        <w:pStyle w:val="ListParagraph"/>
        <w:numPr>
          <w:ilvl w:val="0"/>
          <w:numId w:val="3"/>
        </w:numPr>
        <w:spacing w:after="60"/>
      </w:pPr>
      <w:r>
        <w:rPr>
          <w:rFonts w:ascii="Arial" w:cs="Arial" w:eastAsia="Arial" w:hAnsi="Arial"/>
          <w:b/>
          <w:bCs/>
          <w:color w:val="1A1A2E"/>
          <w:sz w:val="21"/>
          <w:szCs w:val="21"/>
        </w:rPr>
        <w:t xml:space="preserve">Omaha System Mapping: </w:t>
      </w:r>
      <w:r>
        <w:rPr>
          <w:rFonts w:ascii="Arial" w:cs="Arial" w:eastAsia="Arial" w:hAnsi="Arial"/>
          <w:color w:val="1A1A2E"/>
          <w:sz w:val="21"/>
          <w:szCs w:val="21"/>
        </w:rPr>
        <w:t xml:space="preserve">Structured data mapped to 42 Problem Classifications, 75 Targets, and Knowledge-Behavior-Status (KBS) ratings on a 1-5 scale.</w:t>
      </w:r>
    </w:p>
    <w:p>
      <w:pPr>
        <w:pStyle w:val="ListParagraph"/>
        <w:numPr>
          <w:ilvl w:val="0"/>
          <w:numId w:val="3"/>
        </w:numPr>
        <w:spacing w:after="60"/>
      </w:pPr>
      <w:r>
        <w:rPr>
          <w:rFonts w:ascii="Arial" w:cs="Arial" w:eastAsia="Arial" w:hAnsi="Arial"/>
          <w:b/>
          <w:bCs/>
          <w:color w:val="1A1A2E"/>
          <w:sz w:val="21"/>
          <w:szCs w:val="21"/>
        </w:rPr>
        <w:t xml:space="preserve">Human Review: </w:t>
      </w:r>
      <w:r>
        <w:rPr>
          <w:rFonts w:ascii="Arial" w:cs="Arial" w:eastAsia="Arial" w:hAnsi="Arial"/>
          <w:color w:val="1A1A2E"/>
          <w:sz w:val="21"/>
          <w:szCs w:val="21"/>
        </w:rPr>
        <w:t xml:space="preserve">Clinical Director or RN reviews every AI output before it enters the medical record. No AI-generated content reaches the patient record without human validation.</w:t>
      </w:r>
    </w:p>
    <w:p>
      <w:pPr>
        <w:pStyle w:val="ListParagraph"/>
        <w:numPr>
          <w:ilvl w:val="0"/>
          <w:numId w:val="3"/>
        </w:numPr>
        <w:spacing w:after="60"/>
      </w:pPr>
      <w:r>
        <w:rPr>
          <w:rFonts w:ascii="Arial" w:cs="Arial" w:eastAsia="Arial" w:hAnsi="Arial"/>
          <w:b/>
          <w:bCs/>
          <w:color w:val="1A1A2E"/>
          <w:sz w:val="21"/>
          <w:szCs w:val="21"/>
        </w:rPr>
        <w:t xml:space="preserve">FHIR R4 Output: </w:t>
      </w:r>
      <w:r>
        <w:rPr>
          <w:rFonts w:ascii="Arial" w:cs="Arial" w:eastAsia="Arial" w:hAnsi="Arial"/>
          <w:color w:val="1A1A2E"/>
          <w:sz w:val="21"/>
          <w:szCs w:val="21"/>
        </w:rPr>
        <w:t xml:space="preserve">Validated clinical data packaged as FHIR R4 resources via Health Samurai Aidbox, with billing codes (PIN/CHI) generated and EVV attached. Clinical Director attests billing codes.</w:t>
      </w:r>
    </w:p>
    <w:p>
      <w:pPr>
        <w:spacing w:before="200" w:after="100"/>
      </w:pPr>
      <w:r>
        <w:rPr>
          <w:rFonts w:ascii="Arial" w:cs="Arial" w:eastAsia="Arial" w:hAnsi="Arial"/>
          <w:b/>
          <w:bCs/>
          <w:color w:val="1A1A2E"/>
          <w:sz w:val="22"/>
          <w:szCs w:val="22"/>
        </w:rPr>
        <w:t xml:space="preserve">Layer 2: Omaha System Clinical Taxonomy</w:t>
      </w:r>
    </w:p>
    <w:p>
      <w:pPr>
        <w:spacing w:after="120"/>
        <w:jc w:val="left"/>
      </w:pPr>
      <w:r>
        <w:rPr>
          <w:rFonts w:ascii="Arial" w:cs="Arial" w:eastAsia="Arial" w:hAnsi="Arial"/>
          <w:b w:val="false"/>
          <w:bCs w:val="false"/>
          <w:i w:val="false"/>
          <w:iCs w:val="false"/>
          <w:color w:val="1A1A2E"/>
          <w:sz w:val="22"/>
          <w:szCs w:val="22"/>
        </w:rPr>
        <w:t xml:space="preserve">All clinical documentation uses the Omaha System, a research-based, comprehensive taxonomy that provides standardized terminology for describing patient problems, interventions, and outcomes. This enables structured outcome measurement aligned with ACCESS eCKM targets.</w:t>
      </w:r>
    </w:p>
    <w:p>
      <w:pPr>
        <w:spacing w:before="200" w:after="100"/>
      </w:pPr>
      <w:r>
        <w:rPr>
          <w:rFonts w:ascii="Arial" w:cs="Arial" w:eastAsia="Arial" w:hAnsi="Arial"/>
          <w:b/>
          <w:bCs/>
          <w:color w:val="1A1A2E"/>
          <w:sz w:val="22"/>
          <w:szCs w:val="22"/>
        </w:rPr>
        <w:t xml:space="preserve">Layer 3: Worker-Owner Caregivers (Continuous Observation)</w:t>
      </w:r>
    </w:p>
    <w:p>
      <w:pPr>
        <w:spacing w:after="120"/>
        <w:jc w:val="left"/>
      </w:pPr>
      <w:r>
        <w:rPr>
          <w:rFonts w:ascii="Arial" w:cs="Arial" w:eastAsia="Arial" w:hAnsi="Arial"/>
          <w:b w:val="false"/>
          <w:bCs w:val="false"/>
          <w:i w:val="false"/>
          <w:iCs w:val="false"/>
          <w:color w:val="1A1A2E"/>
          <w:sz w:val="22"/>
          <w:szCs w:val="22"/>
        </w:rPr>
        <w:t xml:space="preserve">W-2 caregiver-owners provide daily in-home care with continuity of assignment. The same caregiver sees the same patient regularly, enabling detection of subtle clinical changes (weight gain, dietary changes, activity reduction, medication non-adherence) that are invisible in episodic office visits. Caregivers are paid $25-28/hour with equity ownership in the cooperative, resulting in projected turnover below 15% versus the industry average of 79%.</w:t>
      </w:r>
    </w:p>
    <w:p>
      <w:pPr>
        <w:spacing w:after="120"/>
        <w:jc w:val="left"/>
      </w:pPr>
      <w:r>
        <w:rPr>
          <w:rFonts w:ascii="Arial" w:cs="Arial" w:eastAsia="Arial" w:hAnsi="Arial"/>
          <w:b w:val="false"/>
          <w:bCs w:val="false"/>
          <w:i w:val="false"/>
          <w:iCs w:val="false"/>
          <w:color w:val="1A1A2E"/>
          <w:sz w:val="22"/>
          <w:szCs w:val="22"/>
        </w:rPr>
        <w:t xml:space="preserve">For eCKM beneficiaries, caregivers perform daily observations including: blood pressure readings using FDA-authorized connected cuffs, weight measurements, dietary intake documentation, physical activity assessment, medication adherence monitoring, and symptom tracking.</w:t>
      </w:r>
    </w:p>
    <w:p>
      <w:pPr>
        <w:shd w:fill="FEF3C7" w:val="clear"/>
        <w:spacing w:before="100" w:after="100"/>
        <w:ind w:left="360" w:right="360"/>
      </w:pPr>
      <w:r>
        <w:rPr>
          <w:rFonts w:ascii="Arial" w:cs="Arial" w:eastAsia="Arial" w:hAnsi="Arial"/>
          <w:b/>
          <w:bCs/>
          <w:color w:val="DC2626"/>
          <w:sz w:val="20"/>
          <w:szCs w:val="20"/>
        </w:rPr>
        <w:t xml:space="preserve">⚠ DRAFT NOTE FOR JOSH: </w:t>
      </w:r>
      <w:r>
        <w:rPr>
          <w:rFonts w:ascii="Arial" w:cs="Arial" w:eastAsia="Arial" w:hAnsi="Arial"/>
          <w:i/>
          <w:iCs/>
          <w:color w:val="1A1A2E"/>
          <w:sz w:val="20"/>
          <w:szCs w:val="20"/>
        </w:rPr>
        <w:t xml:space="preserve">Josh: What specific daily observations should caregivers perform for eCKM patients? What connected devices should we specify (BP cuffs, scales, etc.)? What FDA-authorized devices do you recommend? What training do caregivers need?</w:t>
      </w:r>
    </w:p>
    <w:p>
      <w:pPr>
        <w:spacing w:before="200" w:after="100"/>
      </w:pPr>
      <w:r>
        <w:rPr>
          <w:rFonts w:ascii="Arial" w:cs="Arial" w:eastAsia="Arial" w:hAnsi="Arial"/>
          <w:b/>
          <w:bCs/>
          <w:color w:val="1A1A2E"/>
          <w:sz w:val="22"/>
          <w:szCs w:val="22"/>
        </w:rPr>
        <w:t xml:space="preserve">Layer 4: Physician Clinical Director Oversight</w:t>
      </w:r>
    </w:p>
    <w:p>
      <w:pPr>
        <w:spacing w:after="120"/>
        <w:jc w:val="left"/>
      </w:pPr>
      <w:r>
        <w:rPr>
          <w:rFonts w:ascii="Arial" w:cs="Arial" w:eastAsia="Arial" w:hAnsi="Arial"/>
          <w:b w:val="false"/>
          <w:bCs w:val="false"/>
          <w:i w:val="false"/>
          <w:iCs w:val="false"/>
          <w:color w:val="1A1A2E"/>
          <w:sz w:val="22"/>
          <w:szCs w:val="22"/>
        </w:rPr>
        <w:t xml:space="preserve">Dr. Emdur reviews all care plans, approves clinical documentation, attests billing codes, and provides escalation availability for clinical concerns. This physician oversight layer converts daily caregiver observations into clinically governed, auditable documentation that meets ACCESS Model quality and safety requirements.</w:t>
      </w:r>
    </w:p>
    <w:p>
      <w:pPr>
        <w:pBdr>
          <w:bottom w:val="single" w:color="0D9488" w:sz="2" w:space="4"/>
        </w:pBdr>
        <w:spacing w:before="300" w:after="160"/>
      </w:pPr>
      <w:r>
        <w:rPr>
          <w:rFonts w:ascii="Arial" w:cs="Arial" w:eastAsia="Arial" w:hAnsi="Arial"/>
          <w:b/>
          <w:bCs/>
          <w:color w:val="0D9488"/>
          <w:sz w:val="26"/>
          <w:szCs w:val="26"/>
        </w:rPr>
        <w:t xml:space="preserve">4. Patient Outcome Measurement Plan</w:t>
      </w:r>
    </w:p>
    <w:p>
      <w:pPr>
        <w:spacing w:after="120"/>
        <w:jc w:val="left"/>
      </w:pPr>
      <w:r>
        <w:rPr>
          <w:rFonts w:ascii="Arial" w:cs="Arial" w:eastAsia="Arial" w:hAnsi="Arial"/>
          <w:b w:val="false"/>
          <w:bCs w:val="false"/>
          <w:i w:val="false"/>
          <w:iCs w:val="false"/>
          <w:color w:val="1A1A2E"/>
          <w:sz w:val="22"/>
          <w:szCs w:val="22"/>
        </w:rPr>
        <w:t xml:space="preserve">co-op.care will track and report outcomes aligned with the eCKM Outcome Attainment Threshold (OAT) of 50% for the first model 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18"/>
                <w:szCs w:val="18"/>
              </w:rPr>
              <w:t xml:space="preserve">Condition</w:t>
            </w:r>
          </w:p>
        </w:tc>
        <w:tc>
          <w:tcPr>
            <w:tcW w:type="dxa" w:w="234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18"/>
                <w:szCs w:val="18"/>
              </w:rPr>
              <w:t xml:space="preserve">Outcome Measure</w:t>
            </w:r>
          </w:p>
        </w:tc>
        <w:tc>
          <w:tcPr>
            <w:tcW w:type="dxa" w:w="234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18"/>
                <w:szCs w:val="18"/>
              </w:rPr>
              <w:t xml:space="preserve">Target</w:t>
            </w:r>
          </w:p>
        </w:tc>
        <w:tc>
          <w:tcPr>
            <w:tcW w:type="dxa" w:w="234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18"/>
                <w:szCs w:val="18"/>
              </w:rPr>
              <w:t xml:space="preserve">Measurement Method</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2E"/>
                <w:sz w:val="17"/>
                <w:szCs w:val="17"/>
              </w:rPr>
              <w:t xml:space="preserve">Hypertension</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2E"/>
                <w:sz w:val="17"/>
                <w:szCs w:val="17"/>
              </w:rPr>
              <w:t xml:space="preserve">SBP reduction or control &lt;130 mmHg</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2E"/>
                <w:sz w:val="17"/>
                <w:szCs w:val="17"/>
              </w:rPr>
              <w:t xml:space="preserve">15 mmHg reduction or guideline control</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2E"/>
                <w:sz w:val="17"/>
                <w:szCs w:val="17"/>
              </w:rPr>
              <w:t xml:space="preserve">Daily BP via connected cuff, reviewed by Clinical Director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Dyslipidemia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Lipid panel improvement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Improvement from baseline per guidelines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Quarterly lab values ordered by Clinical Director or PCP</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2E"/>
                <w:sz w:val="17"/>
                <w:szCs w:val="17"/>
              </w:rPr>
              <w:t xml:space="preserve">Obesity/Overweight</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2E"/>
                <w:sz w:val="17"/>
                <w:szCs w:val="17"/>
              </w:rPr>
              <w:t xml:space="preserve">Weight/BMI reduction</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2E"/>
                <w:sz w:val="17"/>
                <w:szCs w:val="17"/>
              </w:rPr>
              <w:t xml:space="preserve">Clinically meaningful weight loss (≥5%)</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2E"/>
                <w:sz w:val="17"/>
                <w:szCs w:val="17"/>
              </w:rPr>
              <w:t xml:space="preserve">Daily weight via connected scale, tracked in CareOS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Prediabetes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HbA1c improvement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HbA1c reduction from baseline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Quarterly lab values, dietary adherence tracked daily by caregiver</w:t>
            </w:r>
          </w:p>
        </w:tc>
      </w:tr>
    </w:tbl>
    <w:p>
      <w:pPr>
        <w:spacing w:after="100"/>
      </w:pPr>
    </w:p>
    <w:p>
      <w:pPr>
        <w:shd w:fill="FEF3C7" w:val="clear"/>
        <w:spacing w:before="100" w:after="100"/>
        <w:ind w:left="360" w:right="360"/>
      </w:pPr>
      <w:r>
        <w:rPr>
          <w:rFonts w:ascii="Arial" w:cs="Arial" w:eastAsia="Arial" w:hAnsi="Arial"/>
          <w:b/>
          <w:bCs/>
          <w:color w:val="DC2626"/>
          <w:sz w:val="20"/>
          <w:szCs w:val="20"/>
        </w:rPr>
        <w:t xml:space="preserve">⚠ DRAFT NOTE FOR JOSH: </w:t>
      </w:r>
      <w:r>
        <w:rPr>
          <w:rFonts w:ascii="Arial" w:cs="Arial" w:eastAsia="Arial" w:hAnsi="Arial"/>
          <w:i/>
          <w:iCs/>
          <w:color w:val="1A1A2E"/>
          <w:sz w:val="20"/>
          <w:szCs w:val="20"/>
        </w:rPr>
        <w:t xml:space="preserve">Josh: These targets are preliminary based on the RFA guidance. Please review and adjust based on your clinical judgment. What specific guideline targets should we use for each condition? Are these measurement methods feasible with our caregiver workflow? What lab ordering workflow makes sense — do you order directly, or coordinate with the patient's PCP?</w:t>
      </w:r>
    </w:p>
    <w:p>
      <w:pPr>
        <w:pBdr>
          <w:bottom w:val="single" w:color="0D9488" w:sz="2" w:space="4"/>
        </w:pBdr>
        <w:spacing w:before="300" w:after="160"/>
      </w:pPr>
      <w:r>
        <w:rPr>
          <w:rFonts w:ascii="Arial" w:cs="Arial" w:eastAsia="Arial" w:hAnsi="Arial"/>
          <w:b/>
          <w:bCs/>
          <w:color w:val="0D9488"/>
          <w:sz w:val="26"/>
          <w:szCs w:val="26"/>
        </w:rPr>
        <w:t xml:space="preserve">5. Quality Assurance Procedures</w:t>
      </w:r>
    </w:p>
    <w:p>
      <w:pPr>
        <w:spacing w:after="120"/>
        <w:jc w:val="left"/>
      </w:pPr>
      <w:r>
        <w:rPr>
          <w:rFonts w:ascii="Arial" w:cs="Arial" w:eastAsia="Arial" w:hAnsi="Arial"/>
          <w:b w:val="false"/>
          <w:bCs w:val="false"/>
          <w:i w:val="false"/>
          <w:iCs w:val="false"/>
          <w:color w:val="1A1A2E"/>
          <w:sz w:val="22"/>
          <w:szCs w:val="22"/>
        </w:rPr>
        <w:t xml:space="preserve">co-op.care maintains a comprehensive quality assurance program aligned with ACCESS Model requirements:</w:t>
      </w:r>
    </w:p>
    <w:p>
      <w:pPr>
        <w:spacing w:before="200" w:after="100"/>
      </w:pPr>
      <w:r>
        <w:rPr>
          <w:rFonts w:ascii="Arial" w:cs="Arial" w:eastAsia="Arial" w:hAnsi="Arial"/>
          <w:b/>
          <w:bCs/>
          <w:color w:val="1A1A2E"/>
          <w:sz w:val="22"/>
          <w:szCs w:val="22"/>
        </w:rPr>
        <w:t xml:space="preserve">5.1 Patient Safety Plan</w:t>
      </w:r>
    </w:p>
    <w:p>
      <w:pPr>
        <w:pStyle w:val="ListParagraph"/>
        <w:numPr>
          <w:ilvl w:val="0"/>
          <w:numId w:val="2"/>
        </w:numPr>
        <w:spacing w:after="60"/>
      </w:pPr>
      <w:r>
        <w:rPr>
          <w:rFonts w:ascii="Arial" w:cs="Arial" w:eastAsia="Arial" w:hAnsi="Arial"/>
          <w:color w:val="1A1A2E"/>
          <w:sz w:val="21"/>
          <w:szCs w:val="21"/>
        </w:rPr>
        <w:t xml:space="preserve">Written patient safety plan with protocols for identifying, reporting, and addressing safety concerns</w:t>
      </w:r>
    </w:p>
    <w:p>
      <w:pPr>
        <w:pStyle w:val="ListParagraph"/>
        <w:numPr>
          <w:ilvl w:val="0"/>
          <w:numId w:val="2"/>
        </w:numPr>
        <w:spacing w:after="60"/>
      </w:pPr>
      <w:r>
        <w:rPr>
          <w:rFonts w:ascii="Arial" w:cs="Arial" w:eastAsia="Arial" w:hAnsi="Arial"/>
          <w:color w:val="1A1A2E"/>
          <w:sz w:val="21"/>
          <w:szCs w:val="21"/>
        </w:rPr>
        <w:t xml:space="preserve">Care escalation pathways: Caregiver observation → CareOS AI flagging → Clinical Director review → Emergency protocol</w:t>
      </w:r>
    </w:p>
    <w:p>
      <w:pPr>
        <w:pStyle w:val="ListParagraph"/>
        <w:numPr>
          <w:ilvl w:val="0"/>
          <w:numId w:val="2"/>
        </w:numPr>
        <w:spacing w:after="60"/>
      </w:pPr>
      <w:r>
        <w:rPr>
          <w:rFonts w:ascii="Arial" w:cs="Arial" w:eastAsia="Arial" w:hAnsi="Arial"/>
          <w:color w:val="1A1A2E"/>
          <w:sz w:val="21"/>
          <w:szCs w:val="21"/>
        </w:rPr>
        <w:t xml:space="preserve">Adverse event management procedures documented in CDPHE-compliant Policies and Procedures manual (12 sections)</w:t>
      </w:r>
    </w:p>
    <w:p>
      <w:pPr>
        <w:pStyle w:val="ListParagraph"/>
        <w:numPr>
          <w:ilvl w:val="0"/>
          <w:numId w:val="2"/>
        </w:numPr>
        <w:spacing w:after="60"/>
      </w:pPr>
      <w:r>
        <w:rPr>
          <w:rFonts w:ascii="Arial" w:cs="Arial" w:eastAsia="Arial" w:hAnsi="Arial"/>
          <w:color w:val="1A1A2E"/>
          <w:sz w:val="21"/>
          <w:szCs w:val="21"/>
        </w:rPr>
        <w:t xml:space="preserve">Clinical Director quarterly review of all adverse events and near-misses</w:t>
      </w:r>
    </w:p>
    <w:p>
      <w:pPr>
        <w:spacing w:before="200" w:after="100"/>
      </w:pPr>
      <w:r>
        <w:rPr>
          <w:rFonts w:ascii="Arial" w:cs="Arial" w:eastAsia="Arial" w:hAnsi="Arial"/>
          <w:b/>
          <w:bCs/>
          <w:color w:val="1A1A2E"/>
          <w:sz w:val="22"/>
          <w:szCs w:val="22"/>
        </w:rPr>
        <w:t xml:space="preserve">5.2 NLP Quality Controls</w:t>
      </w:r>
    </w:p>
    <w:p>
      <w:pPr>
        <w:pStyle w:val="ListParagraph"/>
        <w:numPr>
          <w:ilvl w:val="0"/>
          <w:numId w:val="2"/>
        </w:numPr>
        <w:spacing w:after="60"/>
      </w:pPr>
      <w:r>
        <w:rPr>
          <w:rFonts w:ascii="Arial" w:cs="Arial" w:eastAsia="Arial" w:hAnsi="Arial"/>
          <w:color w:val="1A1A2E"/>
          <w:sz w:val="21"/>
          <w:szCs w:val="21"/>
        </w:rPr>
        <w:t xml:space="preserve">10% expected AI error rate mandates 100% human review of all NLP outputs</w:t>
      </w:r>
    </w:p>
    <w:p>
      <w:pPr>
        <w:pStyle w:val="ListParagraph"/>
        <w:numPr>
          <w:ilvl w:val="0"/>
          <w:numId w:val="2"/>
        </w:numPr>
        <w:spacing w:after="60"/>
      </w:pPr>
      <w:r>
        <w:rPr>
          <w:rFonts w:ascii="Arial" w:cs="Arial" w:eastAsia="Arial" w:hAnsi="Arial"/>
          <w:color w:val="1A1A2E"/>
          <w:sz w:val="21"/>
          <w:szCs w:val="21"/>
        </w:rPr>
        <w:t xml:space="preserve">F1 accuracy benchmarking: GPT-4o-mini (RAG) = 0.90, with quarterly revalidation</w:t>
      </w:r>
    </w:p>
    <w:p>
      <w:pPr>
        <w:pStyle w:val="ListParagraph"/>
        <w:numPr>
          <w:ilvl w:val="0"/>
          <w:numId w:val="2"/>
        </w:numPr>
        <w:spacing w:after="60"/>
      </w:pPr>
      <w:r>
        <w:rPr>
          <w:rFonts w:ascii="Arial" w:cs="Arial" w:eastAsia="Arial" w:hAnsi="Arial"/>
          <w:color w:val="1A1A2E"/>
          <w:sz w:val="21"/>
          <w:szCs w:val="21"/>
        </w:rPr>
        <w:t xml:space="preserve">Clinical Director sets and reviews automated alert thresholds for vital sign changes, symptom patterns, and medication adherence</w:t>
      </w:r>
    </w:p>
    <w:p>
      <w:pPr>
        <w:pStyle w:val="ListParagraph"/>
        <w:numPr>
          <w:ilvl w:val="0"/>
          <w:numId w:val="2"/>
        </w:numPr>
        <w:spacing w:after="60"/>
      </w:pPr>
      <w:r>
        <w:rPr>
          <w:rFonts w:ascii="Arial" w:cs="Arial" w:eastAsia="Arial" w:hAnsi="Arial"/>
          <w:color w:val="1A1A2E"/>
          <w:sz w:val="21"/>
          <w:szCs w:val="21"/>
        </w:rPr>
        <w:t xml:space="preserve">Complete audit trail maintained in FHIR R4 via Aidbox with provenance tracking</w:t>
      </w:r>
    </w:p>
    <w:p>
      <w:pPr>
        <w:spacing w:before="200" w:after="100"/>
      </w:pPr>
      <w:r>
        <w:rPr>
          <w:rFonts w:ascii="Arial" w:cs="Arial" w:eastAsia="Arial" w:hAnsi="Arial"/>
          <w:b/>
          <w:bCs/>
          <w:color w:val="1A1A2E"/>
          <w:sz w:val="22"/>
          <w:szCs w:val="22"/>
        </w:rPr>
        <w:t xml:space="preserve">5.3 Outcome Tracking</w:t>
      </w:r>
    </w:p>
    <w:p>
      <w:pPr>
        <w:pStyle w:val="ListParagraph"/>
        <w:numPr>
          <w:ilvl w:val="0"/>
          <w:numId w:val="2"/>
        </w:numPr>
        <w:spacing w:after="60"/>
      </w:pPr>
      <w:r>
        <w:rPr>
          <w:rFonts w:ascii="Arial" w:cs="Arial" w:eastAsia="Arial" w:hAnsi="Arial"/>
          <w:color w:val="1A1A2E"/>
          <w:sz w:val="21"/>
          <w:szCs w:val="21"/>
        </w:rPr>
        <w:t xml:space="preserve">SQL on FHIR v2 analytics engine for real-time outcome measurement against OAT targets</w:t>
      </w:r>
    </w:p>
    <w:p>
      <w:pPr>
        <w:pStyle w:val="ListParagraph"/>
        <w:numPr>
          <w:ilvl w:val="0"/>
          <w:numId w:val="2"/>
        </w:numPr>
        <w:spacing w:after="60"/>
      </w:pPr>
      <w:r>
        <w:rPr>
          <w:rFonts w:ascii="Arial" w:cs="Arial" w:eastAsia="Arial" w:hAnsi="Arial"/>
          <w:color w:val="1A1A2E"/>
          <w:sz w:val="21"/>
          <w:szCs w:val="21"/>
        </w:rPr>
        <w:t xml:space="preserve">Monthly internal reporting to Clinical Director on aggregate outcome attainment</w:t>
      </w:r>
    </w:p>
    <w:p>
      <w:pPr>
        <w:pStyle w:val="ListParagraph"/>
        <w:numPr>
          <w:ilvl w:val="0"/>
          <w:numId w:val="2"/>
        </w:numPr>
        <w:spacing w:after="60"/>
      </w:pPr>
      <w:r>
        <w:rPr>
          <w:rFonts w:ascii="Arial" w:cs="Arial" w:eastAsia="Arial" w:hAnsi="Arial"/>
          <w:color w:val="1A1A2E"/>
          <w:sz w:val="21"/>
          <w:szCs w:val="21"/>
        </w:rPr>
        <w:t xml:space="preserve">Quarterly formal review with Clinical Director per ACCESS Model requirements</w:t>
      </w:r>
    </w:p>
    <w:p>
      <w:pPr>
        <w:pStyle w:val="ListParagraph"/>
        <w:numPr>
          <w:ilvl w:val="0"/>
          <w:numId w:val="2"/>
        </w:numPr>
        <w:spacing w:after="60"/>
      </w:pPr>
      <w:r>
        <w:rPr>
          <w:rFonts w:ascii="Arial" w:cs="Arial" w:eastAsia="Arial" w:hAnsi="Arial"/>
          <w:color w:val="1A1A2E"/>
          <w:sz w:val="21"/>
          <w:szCs w:val="21"/>
        </w:rPr>
        <w:t xml:space="preserve">Annual clinical protocol review and update</w:t>
      </w:r>
    </w:p>
    <w:p>
      <w:pPr>
        <w:shd w:fill="FEF3C7" w:val="clear"/>
        <w:spacing w:before="100" w:after="100"/>
        <w:ind w:left="360" w:right="360"/>
      </w:pPr>
      <w:r>
        <w:rPr>
          <w:rFonts w:ascii="Arial" w:cs="Arial" w:eastAsia="Arial" w:hAnsi="Arial"/>
          <w:b/>
          <w:bCs/>
          <w:color w:val="DC2626"/>
          <w:sz w:val="20"/>
          <w:szCs w:val="20"/>
        </w:rPr>
        <w:t xml:space="preserve">⚠ DRAFT NOTE FOR JOSH: </w:t>
      </w:r>
      <w:r>
        <w:rPr>
          <w:rFonts w:ascii="Arial" w:cs="Arial" w:eastAsia="Arial" w:hAnsi="Arial"/>
          <w:i/>
          <w:iCs/>
          <w:color w:val="1A1A2E"/>
          <w:sz w:val="20"/>
          <w:szCs w:val="20"/>
        </w:rPr>
        <w:t xml:space="preserve">Josh: Please review the existing P&amp;P manual (12 sections) on Thursday and note any additions or modifications needed for ACCESS compliance. Specifically: Does the patient safety plan need additional elements? What escalation pathways work best given your availability?</w:t>
      </w:r>
    </w:p>
    <w:p>
      <w:pPr>
        <w:pBdr>
          <w:bottom w:val="single" w:color="0D9488" w:sz="2" w:space="4"/>
        </w:pBdr>
        <w:spacing w:before="300" w:after="160"/>
      </w:pPr>
      <w:r>
        <w:rPr>
          <w:rFonts w:ascii="Arial" w:cs="Arial" w:eastAsia="Arial" w:hAnsi="Arial"/>
          <w:b/>
          <w:bCs/>
          <w:color w:val="0D9488"/>
          <w:sz w:val="26"/>
          <w:szCs w:val="26"/>
        </w:rPr>
        <w:t xml:space="preserve">6. Technology Infrastructure</w:t>
      </w:r>
    </w:p>
    <w:p>
      <w:pPr>
        <w:spacing w:after="120"/>
        <w:jc w:val="left"/>
      </w:pPr>
      <w:r>
        <w:rPr>
          <w:rFonts w:ascii="Arial" w:cs="Arial" w:eastAsia="Arial" w:hAnsi="Arial"/>
          <w:b w:val="false"/>
          <w:bCs w:val="false"/>
          <w:i w:val="false"/>
          <w:iCs w:val="false"/>
          <w:color w:val="1A1A2E"/>
          <w:sz w:val="22"/>
          <w:szCs w:val="22"/>
        </w:rPr>
        <w:t xml:space="preserve">co-op.care's technology stack is designed for interoperability, compliance, and clinical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312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312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312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18"/>
                <w:szCs w:val="18"/>
              </w:rPr>
              <w:t xml:space="preserve">ACCESS Relevance</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2E"/>
                <w:sz w:val="17"/>
                <w:szCs w:val="17"/>
              </w:rPr>
              <w:t xml:space="preserve">Clinical Data Store</w:t>
            </w:r>
          </w:p>
        </w:tc>
        <w:tc>
          <w:tcPr>
            <w:tcW w:type="dxa" w:w="32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2E"/>
                <w:sz w:val="17"/>
                <w:szCs w:val="17"/>
              </w:rPr>
              <w:t xml:space="preserve">Health Samurai Aidbox (FHIR R4 native)</w:t>
            </w:r>
          </w:p>
        </w:tc>
        <w:tc>
          <w:tcPr>
            <w:tcW w:type="dxa" w:w="32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2E"/>
                <w:sz w:val="17"/>
                <w:szCs w:val="17"/>
              </w:rPr>
              <w:t xml:space="preserve">Interoperable with CMS, PCP EHRs, lab systems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NLP Engine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GPT-4o-mini with RAG (F1=0.90)</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Automates clinical documentation from caregiver observations</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2E"/>
                <w:sz w:val="17"/>
                <w:szCs w:val="17"/>
              </w:rPr>
              <w:t xml:space="preserve">Clinical Taxonomy</w:t>
            </w:r>
          </w:p>
        </w:tc>
        <w:tc>
          <w:tcPr>
            <w:tcW w:type="dxa" w:w="32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2E"/>
                <w:sz w:val="17"/>
                <w:szCs w:val="17"/>
              </w:rPr>
              <w:t xml:space="preserve">Omaha System (42 problems, 75 targets)</w:t>
            </w:r>
          </w:p>
        </w:tc>
        <w:tc>
          <w:tcPr>
            <w:tcW w:type="dxa" w:w="32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2E"/>
                <w:sz w:val="17"/>
                <w:szCs w:val="17"/>
              </w:rPr>
              <w:t xml:space="preserve">Standardized outcome measurement framework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EVV Compliance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GPS + timestamp via mobile app</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21st Century Cures Act compliance</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2E"/>
                <w:sz w:val="17"/>
                <w:szCs w:val="17"/>
              </w:rPr>
              <w:t xml:space="preserve">Analytics</w:t>
            </w:r>
          </w:p>
        </w:tc>
        <w:tc>
          <w:tcPr>
            <w:tcW w:type="dxa" w:w="32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2E"/>
                <w:sz w:val="17"/>
                <w:szCs w:val="17"/>
              </w:rPr>
              <w:t xml:space="preserve">SQL on FHIR v2</w:t>
            </w:r>
          </w:p>
        </w:tc>
        <w:tc>
          <w:tcPr>
            <w:tcW w:type="dxa" w:w="32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2E"/>
                <w:sz w:val="17"/>
                <w:szCs w:val="17"/>
              </w:rPr>
              <w:t xml:space="preserve">Real-time outcome tracking against OAT targets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Connected Devices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FDA-authorized BP cuffs, scales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Continuous vital sign monitoring for eCKM</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2E"/>
                <w:sz w:val="17"/>
                <w:szCs w:val="17"/>
              </w:rPr>
              <w:t xml:space="preserve">Security</w:t>
            </w:r>
          </w:p>
        </w:tc>
        <w:tc>
          <w:tcPr>
            <w:tcW w:type="dxa" w:w="32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2E"/>
                <w:sz w:val="17"/>
                <w:szCs w:val="17"/>
              </w:rPr>
              <w:t xml:space="preserve">Firebase + Aidbox RBAC, HIPAA BAA</w:t>
            </w:r>
          </w:p>
        </w:tc>
        <w:tc>
          <w:tcPr>
            <w:tcW w:type="dxa" w:w="32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2E"/>
                <w:sz w:val="17"/>
                <w:szCs w:val="17"/>
              </w:rPr>
              <w:t xml:space="preserve">PHI protection per HIPAA requirements</w:t>
            </w:r>
          </w:p>
        </w:tc>
      </w:tr>
    </w:tbl>
    <w:p>
      <w:pPr>
        <w:spacing w:after="100"/>
      </w:pPr>
    </w:p>
    <w:p>
      <w:pPr>
        <w:pBdr>
          <w:bottom w:val="single" w:color="0D9488" w:sz="2" w:space="4"/>
        </w:pBdr>
        <w:spacing w:before="300" w:after="160"/>
      </w:pPr>
      <w:r>
        <w:rPr>
          <w:rFonts w:ascii="Arial" w:cs="Arial" w:eastAsia="Arial" w:hAnsi="Arial"/>
          <w:b/>
          <w:bCs/>
          <w:color w:val="0D9488"/>
          <w:sz w:val="26"/>
          <w:szCs w:val="26"/>
        </w:rPr>
        <w:t xml:space="preserve">7. Outcome-Aligned Payment Structure</w:t>
      </w:r>
    </w:p>
    <w:p>
      <w:pPr>
        <w:spacing w:after="120"/>
        <w:jc w:val="left"/>
      </w:pPr>
      <w:r>
        <w:rPr>
          <w:rFonts w:ascii="Arial" w:cs="Arial" w:eastAsia="Arial" w:hAnsi="Arial"/>
          <w:b w:val="false"/>
          <w:bCs w:val="false"/>
          <w:i w:val="false"/>
          <w:iCs w:val="false"/>
          <w:color w:val="1A1A2E"/>
          <w:sz w:val="22"/>
          <w:szCs w:val="22"/>
        </w:rPr>
        <w:t xml:space="preserve">co-op.care understands the ACCESS eCKM payment structure as follows:</w:t>
      </w:r>
    </w:p>
    <w:p>
      <w:pPr>
        <w:pStyle w:val="ListParagraph"/>
        <w:numPr>
          <w:ilvl w:val="0"/>
          <w:numId w:val="2"/>
        </w:numPr>
        <w:spacing w:after="60"/>
      </w:pPr>
      <w:r>
        <w:rPr>
          <w:rFonts w:ascii="Arial" w:cs="Arial" w:eastAsia="Arial" w:hAnsi="Arial"/>
          <w:color w:val="1A1A2E"/>
          <w:sz w:val="21"/>
          <w:szCs w:val="21"/>
        </w:rPr>
        <w:t xml:space="preserve">Recurring Outcome-Aligned Payments (OAPs) for each enrolled beneficiary with qualifying eCKM conditions</w:t>
      </w:r>
    </w:p>
    <w:p>
      <w:pPr>
        <w:pStyle w:val="ListParagraph"/>
        <w:numPr>
          <w:ilvl w:val="0"/>
          <w:numId w:val="2"/>
        </w:numPr>
        <w:spacing w:after="60"/>
      </w:pPr>
      <w:r>
        <w:rPr>
          <w:rFonts w:ascii="Arial" w:cs="Arial" w:eastAsia="Arial" w:hAnsi="Arial"/>
          <w:color w:val="1A1A2E"/>
          <w:sz w:val="21"/>
          <w:szCs w:val="21"/>
        </w:rPr>
        <w:t xml:space="preserve">50% of OAP paid quarterly (cash flow); 50% withheld for annual reconciliation</w:t>
      </w:r>
    </w:p>
    <w:p>
      <w:pPr>
        <w:pStyle w:val="ListParagraph"/>
        <w:numPr>
          <w:ilvl w:val="0"/>
          <w:numId w:val="2"/>
        </w:numPr>
        <w:spacing w:after="60"/>
      </w:pPr>
      <w:r>
        <w:rPr>
          <w:rFonts w:ascii="Arial" w:cs="Arial" w:eastAsia="Arial" w:hAnsi="Arial"/>
          <w:color w:val="1A1A2E"/>
          <w:sz w:val="21"/>
          <w:szCs w:val="21"/>
        </w:rPr>
        <w:t xml:space="preserve">Full payment contingent on meeting Outcome Attainment Threshold (OAT): ≥50% of patients meeting condition-specific targets in Year 1</w:t>
      </w:r>
    </w:p>
    <w:p>
      <w:pPr>
        <w:pStyle w:val="ListParagraph"/>
        <w:numPr>
          <w:ilvl w:val="0"/>
          <w:numId w:val="2"/>
        </w:numPr>
        <w:spacing w:after="60"/>
      </w:pPr>
      <w:r>
        <w:rPr>
          <w:rFonts w:ascii="Arial" w:cs="Arial" w:eastAsia="Arial" w:hAnsi="Arial"/>
          <w:color w:val="1A1A2E"/>
          <w:sz w:val="21"/>
          <w:szCs w:val="21"/>
        </w:rPr>
        <w:t xml:space="preserve">Clinical Outcome Test: ≥50% of patients achieve improvement or guideline-directed control</w:t>
      </w:r>
    </w:p>
    <w:p>
      <w:pPr>
        <w:pStyle w:val="ListParagraph"/>
        <w:numPr>
          <w:ilvl w:val="0"/>
          <w:numId w:val="2"/>
        </w:numPr>
        <w:spacing w:after="60"/>
      </w:pPr>
      <w:r>
        <w:rPr>
          <w:rFonts w:ascii="Arial" w:cs="Arial" w:eastAsia="Arial" w:hAnsi="Arial"/>
          <w:color w:val="1A1A2E"/>
          <w:sz w:val="21"/>
          <w:szCs w:val="21"/>
        </w:rPr>
        <w:t xml:space="preserve">Substitute Spend Test: ≥90% of payments not duplicating existing FFS services</w:t>
      </w:r>
    </w:p>
    <w:p>
      <w:pPr>
        <w:spacing w:after="120"/>
        <w:jc w:val="left"/>
      </w:pPr>
      <w:r>
        <w:rPr>
          <w:rFonts w:ascii="Arial" w:cs="Arial" w:eastAsia="Arial" w:hAnsi="Arial"/>
          <w:b w:val="false"/>
          <w:bCs w:val="false"/>
          <w:i w:val="false"/>
          <w:iCs w:val="false"/>
          <w:color w:val="1A1A2E"/>
          <w:sz w:val="22"/>
          <w:szCs w:val="22"/>
        </w:rPr>
        <w:t xml:space="preserve">co-op.care's cooperative structure uniquely positions the organization for ACCESS success: surplus payments flow to worker-owner caregivers (via patronage dividends), creating direct financial alignment between caregiver effort and patient outcomes. There are no external shareholders extracting value between the OAP and the caregiver providing daily patient observation.</w:t>
      </w:r>
    </w:p>
    <w:p>
      <w:pPr>
        <w:shd w:fill="FEF3C7" w:val="clear"/>
        <w:spacing w:before="100" w:after="100"/>
        <w:ind w:left="360" w:right="360"/>
      </w:pPr>
      <w:r>
        <w:rPr>
          <w:rFonts w:ascii="Arial" w:cs="Arial" w:eastAsia="Arial" w:hAnsi="Arial"/>
          <w:b/>
          <w:bCs/>
          <w:color w:val="DC2626"/>
          <w:sz w:val="20"/>
          <w:szCs w:val="20"/>
        </w:rPr>
        <w:t xml:space="preserve">⚠ DRAFT NOTE FOR JOSH: </w:t>
      </w:r>
      <w:r>
        <w:rPr>
          <w:rFonts w:ascii="Arial" w:cs="Arial" w:eastAsia="Arial" w:hAnsi="Arial"/>
          <w:i/>
          <w:iCs/>
          <w:color w:val="1A1A2E"/>
          <w:sz w:val="20"/>
          <w:szCs w:val="20"/>
        </w:rPr>
        <w:t xml:space="preserve">Josh: The RFA mentions estimated OAP rates of $360-420/beneficiary/year for eCKM. Can you validate this range? What patient volume should we target for the initial cohort? What co-management workflow should we establish with patients' PCPs?</w:t>
      </w:r>
    </w:p>
    <w:p>
      <w:pPr>
        <w:pBdr>
          <w:bottom w:val="single" w:color="0D9488" w:sz="2" w:space="4"/>
        </w:pBdr>
        <w:spacing w:before="300" w:after="160"/>
      </w:pPr>
      <w:r>
        <w:rPr>
          <w:rFonts w:ascii="Arial" w:cs="Arial" w:eastAsia="Arial" w:hAnsi="Arial"/>
          <w:b/>
          <w:bCs/>
          <w:color w:val="0D9488"/>
          <w:sz w:val="26"/>
          <w:szCs w:val="26"/>
        </w:rPr>
        <w:t xml:space="preserve">8. Medicare Enrollment Status</w:t>
      </w:r>
    </w:p>
    <w:p>
      <w:pPr>
        <w:shd w:fill="FEF3C7" w:val="clear"/>
        <w:spacing w:before="100" w:after="100"/>
        <w:ind w:left="360" w:right="360"/>
      </w:pPr>
      <w:r>
        <w:rPr>
          <w:rFonts w:ascii="Arial" w:cs="Arial" w:eastAsia="Arial" w:hAnsi="Arial"/>
          <w:b/>
          <w:bCs/>
          <w:color w:val="DC2626"/>
          <w:sz w:val="20"/>
          <w:szCs w:val="20"/>
        </w:rPr>
        <w:t xml:space="preserve">⚠ DRAFT NOTE FOR JOSH: </w:t>
      </w:r>
      <w:r>
        <w:rPr>
          <w:rFonts w:ascii="Arial" w:cs="Arial" w:eastAsia="Arial" w:hAnsi="Arial"/>
          <w:i/>
          <w:iCs/>
          <w:color w:val="1A1A2E"/>
          <w:sz w:val="20"/>
          <w:szCs w:val="20"/>
        </w:rPr>
        <w:t xml:space="preserve">Josh: CRITICAL QUESTION — Can your existing Medicare enrollment (through BCH or Automate Clinic) be used for the ACCESS application? Or does co-op.care need its own Part B enrollment first via CMS-855B? If new enrollment is needed, we should complete the 855B together on Thursday. The MAC for Colorado is Novitas Solutions. Processing time is typically 60-90 days, so timing is tight for the July 2026 start.</w:t>
      </w:r>
    </w:p>
    <w:p>
      <w:pPr>
        <w:spacing w:after="120"/>
        <w:jc w:val="left"/>
      </w:pPr>
      <w:r>
        <w:rPr>
          <w:rFonts w:ascii="Arial" w:cs="Arial" w:eastAsia="Arial" w:hAnsi="Arial"/>
          <w:b w:val="false"/>
          <w:bCs w:val="false"/>
          <w:i w:val="false"/>
          <w:iCs w:val="false"/>
          <w:color w:val="1A1A2E"/>
          <w:sz w:val="22"/>
          <w:szCs w:val="22"/>
        </w:rPr>
        <w:t xml:space="preserve">co-op.care Technologies LLC will enroll in Medicare Part B as a clinic/group practice supplier via CMS-855B. The Clinical Director, Josh Emdur, DO, will be designated as Medical Director on the enrollment application, with his NPI and Medicare enrollment details linking the organizational enrollment to his individual provider credentials.</w:t>
      </w:r>
    </w:p>
    <w:p>
      <w:pPr>
        <w:pBdr>
          <w:bottom w:val="single" w:color="0D9488" w:sz="2" w:space="4"/>
        </w:pBdr>
        <w:spacing w:before="300" w:after="160"/>
      </w:pPr>
      <w:r>
        <w:rPr>
          <w:rFonts w:ascii="Arial" w:cs="Arial" w:eastAsia="Arial" w:hAnsi="Arial"/>
          <w:b/>
          <w:bCs/>
          <w:color w:val="0D9488"/>
          <w:sz w:val="26"/>
          <w:szCs w:val="26"/>
        </w:rPr>
        <w:t xml:space="preserve">9. Application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CCCCCC" w:sz="1"/>
              <w:left w:val="single" w:color="CCCCCC" w:sz="1"/>
              <w:bottom w:val="single" w:color="CCCCCC" w:sz="1"/>
              <w:right w:val="single" w:color="CCCCCC" w:sz="1"/>
            </w:tcBorders>
            <w:shd w:fill="D4A843" w:val="clear"/>
            <w:tcMar>
              <w:top w:type="dxa" w:w="80"/>
              <w:left w:type="dxa" w:w="120"/>
              <w:bottom w:type="dxa" w:w="80"/>
              <w:right w:type="dxa" w:w="120"/>
            </w:tcMar>
          </w:tcPr>
          <w:p>
            <w:r>
              <w:rPr>
                <w:rFonts w:ascii="Arial" w:cs="Arial" w:eastAsia="Arial" w:hAnsi="Arial"/>
                <w:b/>
                <w:bCs/>
                <w:color w:val="FFFFFF"/>
                <w:sz w:val="18"/>
                <w:szCs w:val="18"/>
              </w:rPr>
              <w:t xml:space="preserve">Date</w:t>
            </w:r>
          </w:p>
        </w:tc>
        <w:tc>
          <w:tcPr>
            <w:tcW w:type="dxa" w:w="4680"/>
            <w:tcBorders>
              <w:top w:val="single" w:color="CCCCCC" w:sz="1"/>
              <w:left w:val="single" w:color="CCCCCC" w:sz="1"/>
              <w:bottom w:val="single" w:color="CCCCCC" w:sz="1"/>
              <w:right w:val="single" w:color="CCCCCC" w:sz="1"/>
            </w:tcBorders>
            <w:shd w:fill="D4A843"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2340"/>
            <w:tcBorders>
              <w:top w:val="single" w:color="CCCCCC" w:sz="1"/>
              <w:left w:val="single" w:color="CCCCCC" w:sz="1"/>
              <w:bottom w:val="single" w:color="CCCCCC" w:sz="1"/>
              <w:right w:val="single" w:color="CCCCCC" w:sz="1"/>
            </w:tcBorders>
            <w:shd w:fill="D4A843" w:val="clear"/>
            <w:tcMar>
              <w:top w:type="dxa" w:w="80"/>
              <w:left w:type="dxa" w:w="120"/>
              <w:bottom w:type="dxa" w:w="80"/>
              <w:right w:type="dxa" w:w="120"/>
            </w:tcMar>
          </w:tcPr>
          <w:p>
            <w:r>
              <w:rPr>
                <w:rFonts w:ascii="Arial" w:cs="Arial" w:eastAsia="Arial" w:hAnsi="Arial"/>
                <w:b/>
                <w:bCs/>
                <w:color w:val="FFFFFF"/>
                <w:sz w:val="18"/>
                <w:szCs w:val="18"/>
              </w:rPr>
              <w:t xml:space="preserve">Owner</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color w:val="1A1A2E"/>
                <w:sz w:val="18"/>
                <w:szCs w:val="18"/>
              </w:rPr>
              <w:t xml:space="preserve">March 6</w:t>
            </w:r>
          </w:p>
        </w:tc>
        <w:tc>
          <w:tcPr>
            <w:tcW w:type="dxa" w:w="4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A1A2E"/>
                <w:sz w:val="18"/>
                <w:szCs w:val="18"/>
              </w:rPr>
              <w:t xml:space="preserve">Review and finalize care delivery narrative with Clinical Director</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A1A2E"/>
                <w:sz w:val="18"/>
                <w:szCs w:val="18"/>
              </w:rPr>
              <w:t xml:space="preserve">Blaine + Josh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March 6</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Submit CDPHE Class A application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Blaine + Josh</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color w:val="1A1A2E"/>
                <w:sz w:val="18"/>
                <w:szCs w:val="18"/>
              </w:rPr>
              <w:t xml:space="preserve">March 7–10</w:t>
            </w:r>
          </w:p>
        </w:tc>
        <w:tc>
          <w:tcPr>
            <w:tcW w:type="dxa" w:w="4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A1A2E"/>
                <w:sz w:val="18"/>
                <w:szCs w:val="18"/>
              </w:rPr>
              <w:t xml:space="preserve">Complete CMS-855B Medicare enrollment (if needed)</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A1A2E"/>
                <w:sz w:val="18"/>
                <w:szCs w:val="18"/>
              </w:rPr>
              <w:t xml:space="preserve">Blaine + Josh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March 10–15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Finalize outcome measurement plan with clinical targets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Josh (lead)</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color w:val="1A1A2E"/>
                <w:sz w:val="18"/>
                <w:szCs w:val="18"/>
              </w:rPr>
              <w:t xml:space="preserve">March 15–20</w:t>
            </w:r>
          </w:p>
        </w:tc>
        <w:tc>
          <w:tcPr>
            <w:tcW w:type="dxa" w:w="4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A1A2E"/>
                <w:sz w:val="18"/>
                <w:szCs w:val="18"/>
              </w:rPr>
              <w:t xml:space="preserve">Draft complete ACCESS application in Participant Portal</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A1A2E"/>
                <w:sz w:val="18"/>
                <w:szCs w:val="18"/>
              </w:rPr>
              <w:t xml:space="preserve">Blaine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March 20–25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Clinical Director reviews full application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Josh</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color w:val="1A1A2E"/>
                <w:sz w:val="18"/>
                <w:szCs w:val="18"/>
              </w:rPr>
              <w:t xml:space="preserve">March 25–30</w:t>
            </w:r>
          </w:p>
        </w:tc>
        <w:tc>
          <w:tcPr>
            <w:tcW w:type="dxa" w:w="4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A1A2E"/>
                <w:sz w:val="18"/>
                <w:szCs w:val="18"/>
              </w:rPr>
              <w:t xml:space="preserve">Final revisions and compliance review</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A1A2E"/>
                <w:sz w:val="18"/>
                <w:szCs w:val="18"/>
              </w:rPr>
              <w:t xml:space="preserve">Blaine + Josh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April 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Submit ACCESS application via CMS Participant Portal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Blaine</w:t>
            </w:r>
          </w:p>
        </w:tc>
      </w:tr>
    </w:tbl>
    <w:p>
      <w:pPr>
        <w:pBdr>
          <w:top w:val="single" w:color="0D9488" w:sz="2" w:space="8"/>
        </w:pBdr>
        <w:spacing w:before="300"/>
        <w:jc w:val="center"/>
      </w:pPr>
      <w:r>
        <w:rPr>
          <w:rFonts w:ascii="Arial" w:cs="Arial" w:eastAsia="Arial" w:hAnsi="Arial"/>
          <w:b/>
          <w:bCs/>
          <w:color w:val="DC2626"/>
          <w:sz w:val="18"/>
          <w:szCs w:val="18"/>
        </w:rPr>
        <w:t xml:space="preserve">DRAFT — For working session with Clinical Director — March 6,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1" w:space="4"/>
      </w:pBdr>
      <w:jc w:val="center"/>
    </w:pPr>
    <w:r>
      <w:rPr>
        <w:rFonts w:ascii="Arial" w:cs="Arial" w:eastAsia="Arial" w:hAnsi="Arial"/>
        <w:color w:val="6B7280"/>
        <w:sz w:val="16"/>
        <w:szCs w:val="16"/>
      </w:rPr>
      <w:t xml:space="preserve">DRAFT — For Review with Clinical Director — March 6,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9488" w:sz="2" w:space="4"/>
      </w:pBdr>
      <w:tabs>
        <w:tab w:val="right" w:pos="9360"/>
      </w:tabs>
    </w:pPr>
    <w:r>
      <w:rPr>
        <w:rFonts w:ascii="Arial" w:cs="Arial" w:eastAsia="Arial" w:hAnsi="Arial"/>
        <w:b/>
        <w:bCs/>
        <w:color w:val="0D9488"/>
        <w:sz w:val="18"/>
        <w:szCs w:val="18"/>
      </w:rPr>
      <w:t xml:space="preserve">co-op.care Technologies LLC	</w:t>
    </w:r>
    <w:r>
      <w:rPr>
        <w:rFonts w:ascii="Arial" w:cs="Arial" w:eastAsia="Arial" w:hAnsi="Arial"/>
        <w:b/>
        <w:bCs/>
        <w:color w:val="DC2626"/>
        <w:sz w:val="18"/>
        <w:szCs w:val="18"/>
      </w:rPr>
      <w:t xml:space="preserve">ACCESS Model Application —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1A1A2E"/>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2026-02-28T01:54:46.965Z</dcterms:created>
  <dcterms:modified xsi:type="dcterms:W3CDTF">2026-02-28T01:54:46.966Z</dcterms:modified>
</cp:coreProperties>
</file>

<file path=docProps/custom.xml><?xml version="1.0" encoding="utf-8"?>
<Properties xmlns="http://schemas.openxmlformats.org/officeDocument/2006/custom-properties" xmlns:vt="http://schemas.openxmlformats.org/officeDocument/2006/docPropsVTypes"/>
</file>