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Boulder Community Health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Discharge Pilot Discussion Guide</w:t>
      </w:r>
    </w:p>
    <w:p>
      <w:pPr>
        <w:pBdr>
          <w:bottom w:val="single" w:color="0D9488" w:sz="3" w:space="8"/>
        </w:pBdr>
        <w:spacing w:after="2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Questions for Josh — Thursday Afternoon, March 6</w:t>
      </w:r>
    </w:p>
    <w:p>
      <w:pPr>
        <w:pBdr>
          <w:bottom w:val="single" w:color="0D9488" w:sz="2" w:space="4"/>
        </w:pBdr>
        <w:spacing w:before="24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Context: The Blocked Bed Problem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Hospital beds cost ~$2,500/day when occupied by patients who are medically cleared but have no safe discharge destination. Boulder Community Health, like every community hospital, loses revenue and capacity to this bottleneck. co-op.care can provide the discharge destination.</w:t>
      </w:r>
    </w:p>
    <w:p>
      <w:pPr>
        <w:pBdr>
          <w:bottom w:val="single" w:color="0D9488" w:sz="2" w:space="4"/>
        </w:pBdr>
        <w:spacing w:before="24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What We Know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BCH is the primary hospital in Boulder County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Josh has been a hospitalist there since 2008 — 18 years of institutional knowledge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Discharge planning is handled by case managers and social workers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Patients get stuck when: no family caregiver, home isn’t safe, no affordable option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Grant Besser is a potential contact for partnership discussions</w:t>
      </w:r>
    </w:p>
    <w:p>
      <w:pPr>
        <w:pBdr>
          <w:bottom w:val="single" w:color="0D9488" w:sz="2" w:space="4"/>
        </w:pBdr>
        <w:spacing w:before="24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Questions for Josh: The Clinical Reality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0D9488"/>
          <w:sz w:val="21"/>
          <w:szCs w:val="21"/>
        </w:rPr>
        <w:t xml:space="preserve">Patient Population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What types of patients get stuck post-discharge most often?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What’s the typical age range and condition profile?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How many blocked bed days does BCH experience per month? (ballpark)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What diagnoses are most common in the “can’t go home” population?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How many are Medicare FFS vs. Medicare Advantage vs. Medicaid vs. commercial?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0D9488"/>
          <w:sz w:val="21"/>
          <w:szCs w:val="21"/>
        </w:rPr>
        <w:t xml:space="preserve">Discharge Process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Who makes the discharge decision? (attending, case manager, both?)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Who are the discharge planners and case managers Josh works with regularly?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What’s the current process when a patient has no safe discharge destination?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How does BCH currently coordinate with home health agencies?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What are the biggest frustrations with existing home health providers?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0D9488"/>
          <w:sz w:val="21"/>
          <w:szCs w:val="21"/>
        </w:rPr>
        <w:t xml:space="preserve">What Would Make This Valuable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If Josh could wave a magic wand, what would ideal post-discharge care look like?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What clinical documentation does BCH need from a home care partner?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Would BCH pay a per-discharge retainer, or is this a referral relationship?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What does Josh think about a joint meeting with Grant Besser?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Who else at BCH should be in the room for a pilot proposal?</w:t>
      </w:r>
    </w:p>
    <w:p>
      <w:pPr>
        <w:pBdr>
          <w:bottom w:val="single" w:color="0D9488" w:sz="2" w:space="4"/>
        </w:pBdr>
        <w:spacing w:before="24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co-op.care’s Discharge Pilot Offer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What we bring to BCH: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Same-day or next-day caregiver deployment post-discharge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Physician-overseen care plans (Josh himself, initially)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FHIR R4 discharge documentation sent back to BCH EHR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Daily caregiver observations tracked in CareOS — early warning for readmission risk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W-2 caregivers with &lt;15% turnover (vs. 79% industry) = continuity of care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EVV-compliant visit verification for payer reporting</w:t>
      </w:r>
    </w:p>
    <w:p>
      <w:pPr>
        <w:pBdr>
          <w:bottom w:val="single" w:color="0D9488" w:sz="2" w:space="4"/>
        </w:pBdr>
        <w:spacing w:before="24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ROI for BCH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Blocked bed 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$2,500/day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BCH published rate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Avg blocked bed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3–7 days per patient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Industry average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Value per prevented block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$7,500–$17,500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If co-op.care takes patient home Day 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10 patients/month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$75K–$175K/month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BCH savings / reallocated capacity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Annual 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$900K–$2.1M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At scale with 10 discharges/month</w:t>
            </w:r>
          </w:p>
        </w:tc>
      </w:tr>
    </w:tbl>
    <w:p>
      <w:pPr>
        <w:spacing w:after="100"/>
      </w:pPr>
    </w:p>
    <w:p>
      <w:pPr>
        <w:pBdr>
          <w:bottom w:val="single" w:color="0D9488" w:sz="2" w:space="4"/>
        </w:pBdr>
        <w:spacing w:before="24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Next Step: Joint Meeting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Goal: Josh introduces Blaine to Grant Besser (or appropriate BCH leader) for a 30-minute meeting in the next 2 weeks to present the pilot proposal.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Josh’s role: Internal champion who can speak to both the clinical reality and co-op.care’s model. His credibility as a BCH hospitalist is the door-opener.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Confidential — co-op.care Technologies LLC — Boulder, CO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2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0D9488"/>
        <w:sz w:val="16"/>
        <w:szCs w:val="16"/>
      </w:rPr>
      <w:t xml:space="preserve">co-op.care	</w:t>
    </w: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BCH Discharge Pilot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▢"/>
      <w:lvlJc w:val="left"/>
      <w:pPr>
        <w:ind w:left="5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2026-02-28T01:57:29.659Z</dcterms:created>
  <dcterms:modified xsi:type="dcterms:W3CDTF">2026-02-28T01:57:29.659Z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