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co-op.care + Elevance Health</w:t>
      </w:r>
    </w:p>
    <w:p>
      <w:pPr>
        <w:pBdr>
          <w:bottom w:val="single" w:color="0D9488" w:sz="3" w:space="8"/>
        </w:pBdr>
        <w:spacing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Why a Program Director at Anthem BCBS Colorado Should Care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Their 2026 Problem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Elevance just called 2026 a “reset year.” EPS guidance dropped to $25.50 (from $30.29 in 2025). Medicaid margins are negative. The CFO just took over Carelon. The Carelon president is leaving. Colorado Option is squeezing premiums. And the home health workforce they need has 79% annual turnover.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What co-op.care 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Elevance Pain Point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co-op.care Solution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We’re Different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79% caregiver turnover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W-2 caregivers at $25–28/hr with equity ownership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Target &lt;15% turnover. Workers who own don’t quit.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Missing SDoH data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Daily in-home observations coded to Omaha System → FHIR R4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Ground-truth data, not claims-inferred guesses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ER readmissions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Physician-overseen continuity of care; same caregiver daily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Catches the missed meal, the slower gait, the confusion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Carelon staffing crisis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Fully staffed cooperative workforce — no labor shortages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Labor elasticity without W-2 management burden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Colorado Option pressure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Community-owned partner = regulatory narrative win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Division of Insurance loves community innovation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Medicaid acuity crisis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Post-discharge care preventing $2,500/day blocked beds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BCH hospitalist as Clinical Director (insider)</w:t>
            </w:r>
          </w:p>
        </w:tc>
      </w:tr>
    </w:tbl>
    <w:p>
      <w:pPr>
        <w:spacing w:after="100"/>
      </w:pP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The Structural Advantage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A for-profit home health agency makes more money by upselling clinical hours. co-op.care makes more money by keeping people healthy at home — because surplus goes back to worker-owners as patronage dividends. Our incentives structurally align with Elevance’s Total Cost of Care goals.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There are no external shareholders. Zero extraction to Wall Street. Every dollar of efficiency gain stays in the care delivery system or goes to the caregiver who produced it.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Data co-op.care Generates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Social Determinants of Health: food security, social isolation, mobility, housing safety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Vital signs: daily BP, weight, medication adherence (via connected devices)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Clinical trajectory: Omaha System KBS scores trending over time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output as FHIR R4 resources — interoperable with Elevance/Carelon systems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Physician-attested — not just caregiver notes, clinically governed documentation</w:t>
      </w:r>
    </w:p>
    <w:p>
      <w:pPr>
        <w:pBdr>
          <w:bottom w:val="single" w:color="0D9488" w:sz="2" w:space="4"/>
        </w:pBdr>
        <w:spacing w:before="240" w:after="12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When This Becomes a Conversation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1"/>
          <w:szCs w:val="21"/>
        </w:rPr>
        <w:t xml:space="preserve">co-op.care is launching in Boulder in March 2026. We’re not asking Elevance for anything today. But in 6–12 months, with BCH pilot data and ACCESS Model outcomes, we’ll have: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Proven readmission reduction data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Structured SDoH data in FHIR R4 format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Demonstrated caregiver retention metrics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Medicare ACCESS outcomes on eCKM conditions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1"/>
          <w:szCs w:val="21"/>
        </w:rPr>
        <w:t xml:space="preserve">At that point, a shared-savings arrangement becomes a real conversation: co-op.care reduces TCOC, Elevance shares the savings, Boulder keeps the value.</w:t>
      </w:r>
    </w:p>
    <w:p>
      <w:pPr>
        <w:pBdr>
          <w:top w:val="single" w:color="0D9488" w:sz="2" w:space="6"/>
        </w:pBdr>
        <w:spacing w:before="200"/>
        <w:jc w:val="center"/>
      </w:pPr>
      <w:r>
        <w:rPr>
          <w:rFonts w:ascii="Arial" w:cs="Arial" w:eastAsia="Arial" w:hAnsi="Arial"/>
          <w:color w:val="6B7280"/>
          <w:sz w:val="16"/>
          <w:szCs w:val="16"/>
        </w:rPr>
        <w:t xml:space="preserve">co-op.care Technologies LLC — blaine@co-op.care — Boulder, Colorado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Confidential — co-op.care Technologies LLC — Boulder, CO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2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D9488"/>
        <w:sz w:val="16"/>
        <w:szCs w:val="16"/>
      </w:rPr>
      <w:t xml:space="preserve">co-op.care	</w:t>
    </w: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Elevance Partnership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▢"/>
      <w:lvlJc w:val="left"/>
      <w:pPr>
        <w:ind w:left="54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2026-02-28T01:57:29.663Z</dcterms:created>
  <dcterms:modified xsi:type="dcterms:W3CDTF">2026-02-28T01:57:29.664Z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