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Health Information Technology and Data Infrastructure</w:t>
      </w:r>
    </w:p>
    <w:p>
      <w:pPr>
        <w:spacing w:after="120" w:before="0"/>
      </w:pPr>
      <w:r>
        <w:rPr>
          <w:rFonts w:ascii="Arial" w:cs="Arial" w:eastAsia="Arial" w:hAnsi="Arial"/>
          <w:color w:val="1E293B"/>
          <w:sz w:val="20"/>
          <w:szCs w:val="20"/>
        </w:rPr>
        <w:t xml:space="preserve">This section describes co-op.care’s approach to health information technology (HIT) infrastructure, clinical data interoperability, and the technical systems that enable continuous, bidirectional data exchange between community-based care delivery and the broader healthcare ecosystem.</w:t>
      </w:r>
    </w:p>
    <w:p>
      <w:pPr>
        <w:pStyle w:val="Heading2"/>
      </w:pPr>
      <w:r>
        <w:t xml:space="preserve">1. Architectural Overview: Community Care as a Data Node</w:t>
      </w:r>
    </w:p>
    <w:p>
      <w:pPr>
        <w:spacing w:after="120" w:before="0"/>
      </w:pPr>
      <w:r>
        <w:rPr>
          <w:rFonts w:ascii="Arial" w:cs="Arial" w:eastAsia="Arial" w:hAnsi="Arial"/>
          <w:color w:val="1E293B"/>
          <w:sz w:val="20"/>
          <w:szCs w:val="20"/>
        </w:rPr>
        <w:t xml:space="preserve">co-op.care operates as a community-side clinical data infrastructure layer that generates, standardizes, and transmits structured health information from the home environment back into hospital and payer systems. Our architecture is designed around a core principle: data should be generated where care happens and flow seamlessly to every stakeholder who needs it — without requiring patients or families to navigate fragmented systems.</w:t>
      </w:r>
    </w:p>
    <w:p>
      <w:pPr>
        <w:spacing w:after="120" w:before="0"/>
      </w:pPr>
      <w:r>
        <w:rPr>
          <w:rFonts w:ascii="Arial" w:cs="Arial" w:eastAsia="Arial" w:hAnsi="Arial"/>
          <w:color w:val="1E293B"/>
          <w:sz w:val="20"/>
          <w:szCs w:val="20"/>
        </w:rPr>
        <w:t xml:space="preserve">The healthcare system currently suffers from a well-documented data fragmentation problem. Hospital systems generate vast quantities of clinical data, but this information drops off precipitously at the point of discharge. Patients transition from data-rich acute environments into data-poor home settings, creating blind spots that drive preventable readmissions, delayed interventions, and duplicative assessments. co-op.care addresses this structural gap by extending the clinical data stream into the community.</w:t>
      </w:r>
    </w:p>
    <w:p>
      <w:pPr>
        <w:pStyle w:val="Heading2"/>
      </w:pPr>
      <w:r>
        <w:t xml:space="preserve">2. FHIR R4-Native Data Foundation</w:t>
      </w:r>
    </w:p>
    <w:p>
      <w:pPr>
        <w:spacing w:after="120" w:before="0"/>
      </w:pPr>
      <w:r>
        <w:rPr>
          <w:rFonts w:ascii="Arial" w:cs="Arial" w:eastAsia="Arial" w:hAnsi="Arial"/>
          <w:color w:val="1E293B"/>
          <w:sz w:val="20"/>
          <w:szCs w:val="20"/>
        </w:rPr>
        <w:t xml:space="preserve">co-op.care’s data infrastructure is built natively on the HL7 FHIR R4 standard, deployed on the Aidbox platform (Health Samurai). This is not a translation layer retrofitted onto a legacy system — all clinical data is generated, stored, and transmitted as FHIR resources from the point of origin.</w:t>
      </w:r>
    </w:p>
    <w:p>
      <w:pPr>
        <w:spacing w:after="120" w:before="0"/>
      </w:pPr>
      <w:r>
        <w:rPr>
          <w:rFonts w:ascii="Arial" w:cs="Arial" w:eastAsia="Arial" w:hAnsi="Arial"/>
          <w:b/>
          <w:bCs/>
          <w:color w:val="1E293B"/>
          <w:sz w:val="20"/>
          <w:szCs w:val="20"/>
        </w:rPr>
        <w:t xml:space="preserve">Clinical Taxonomy: </w:t>
      </w:r>
      <w:r>
        <w:rPr>
          <w:rFonts w:ascii="Arial" w:cs="Arial" w:eastAsia="Arial" w:hAnsi="Arial"/>
          <w:color w:val="1E293B"/>
          <w:sz w:val="20"/>
          <w:szCs w:val="20"/>
        </w:rPr>
        <w:t xml:space="preserve">All care assessments use the Omaha System classification, a validated nursing taxonomy that maps to FHIR resources and supports structured problem identification, intervention documentation, and outcomes measurement. This enables consistent clinical language across all five co-op.care care sources: Conductor (trained family caregiver), Time Bank (neighbor support), W-2 personal care aides, W-2 skilled professionals (RN/CNA/PT/OT/SLP), and Community Wellness Referrals.</w:t>
      </w:r>
    </w:p>
    <w:p>
      <w:pPr>
        <w:spacing w:after="120" w:before="0"/>
      </w:pPr>
      <w:r>
        <w:rPr>
          <w:rFonts w:ascii="Arial" w:cs="Arial" w:eastAsia="Arial" w:hAnsi="Arial"/>
          <w:b/>
          <w:bCs/>
          <w:color w:val="1E293B"/>
          <w:sz w:val="20"/>
          <w:szCs w:val="20"/>
        </w:rPr>
        <w:t xml:space="preserve">Standardized Assessments: </w:t>
      </w:r>
      <w:r>
        <w:rPr>
          <w:rFonts w:ascii="Arial" w:cs="Arial" w:eastAsia="Arial" w:hAnsi="Arial"/>
          <w:color w:val="1E293B"/>
          <w:sz w:val="20"/>
          <w:szCs w:val="20"/>
        </w:rPr>
        <w:t xml:space="preserve">co-op.care’s Caregiver Impact Index (CII) and Care Recipient Index (CRI) assessments generate structured FHIR-formatted clinical data that quantifies caregiver burden and care recipient acuity. These assessments produce standardized scores that can be transmitted to hospital systems, payers, and CMS as part of ongoing quality and outcome reporting.</w:t>
      </w:r>
    </w:p>
    <w:p>
      <w:pPr>
        <w:spacing w:after="80" w:before="80"/>
      </w:pPr>
      <w:r>
        <w:rPr>
          <w:rFonts w:ascii="Arial" w:cs="Arial" w:eastAsia="Arial" w:hAnsi="Arial"/>
          <w:b/>
          <w:bCs/>
          <w:color w:val="1E293B"/>
          <w:sz w:val="20"/>
          <w:szCs w:val="20"/>
        </w:rPr>
        <w:t xml:space="preserve">Key FHIR Resources Generated by co-op.care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A7A6D" w:val="clear"/>
            <w:tcMar>
              <w:top w:type="dxa" w:w="60"/>
              <w:left w:type="dxa" w:w="100"/>
              <w:bottom w:type="dxa" w:w="60"/>
              <w:right w:type="dxa" w:w="100"/>
            </w:tcMar>
          </w:tcPr>
          <w:p>
            <w:r>
              <w:rPr>
                <w:rFonts w:ascii="Arial" w:cs="Arial" w:eastAsia="Arial" w:hAnsi="Arial"/>
                <w:b/>
                <w:bCs/>
                <w:color w:val="FFFFFF"/>
                <w:sz w:val="18"/>
                <w:szCs w:val="18"/>
              </w:rPr>
              <w:t xml:space="preserve">FHIR Resource</w:t>
            </w:r>
          </w:p>
        </w:tc>
        <w:tc>
          <w:tcPr>
            <w:tcW w:type="dxa" w:w="3380"/>
            <w:tcBorders>
              <w:top w:val="single" w:color="D1D5DB" w:sz="1"/>
              <w:left w:val="single" w:color="D1D5DB" w:sz="1"/>
              <w:bottom w:val="single" w:color="D1D5DB" w:sz="1"/>
              <w:right w:val="single" w:color="D1D5DB" w:sz="1"/>
            </w:tcBorders>
            <w:shd w:fill="1A7A6D"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3380"/>
            <w:tcBorders>
              <w:top w:val="single" w:color="D1D5DB" w:sz="1"/>
              <w:left w:val="single" w:color="D1D5DB" w:sz="1"/>
              <w:bottom w:val="single" w:color="D1D5DB" w:sz="1"/>
              <w:right w:val="single" w:color="D1D5DB" w:sz="1"/>
            </w:tcBorders>
            <w:shd w:fill="1A7A6D" w:val="clear"/>
            <w:tcMar>
              <w:top w:type="dxa" w:w="60"/>
              <w:left w:type="dxa" w:w="100"/>
              <w:bottom w:type="dxa" w:w="60"/>
              <w:right w:type="dxa" w:w="100"/>
            </w:tcMar>
          </w:tcPr>
          <w:p>
            <w:r>
              <w:rPr>
                <w:rFonts w:ascii="Arial" w:cs="Arial" w:eastAsia="Arial" w:hAnsi="Arial"/>
                <w:b/>
                <w:bCs/>
                <w:color w:val="FFFFFF"/>
                <w:sz w:val="18"/>
                <w:szCs w:val="18"/>
              </w:rPr>
              <w:t xml:space="preserve">Clinical Use</w:t>
            </w:r>
          </w:p>
        </w:tc>
      </w:tr>
      <w:tr>
        <w:tc>
          <w:tcPr>
            <w:tcW w:type="dxa" w:w="260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Patient</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Enrollment / CRI Assessment</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Demographics, conditions, care plan baseline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Observation</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Wearable biometrics, caregiver reports</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Continuous vital signs, sleep, activity, symptom tracking</w:t>
            </w:r>
          </w:p>
        </w:tc>
      </w:tr>
      <w:tr>
        <w:tc>
          <w:tcPr>
            <w:tcW w:type="dxa" w:w="260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CarePlan</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Physician-directed care protocols</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Goal-oriented care coordination across all five care sources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Encounter</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EVV records, visit documentation</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Visit verification, time tracking, service delivery confirmation</w:t>
            </w:r>
          </w:p>
        </w:tc>
      </w:tr>
      <w:tr>
        <w:tc>
          <w:tcPr>
            <w:tcW w:type="dxa" w:w="260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Condition</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CII/CRI assessments, clinical notes</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Problem identification mapped to Omaha System and ICD-10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DocumentReference</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Letters of Medical Necessity</w:t>
            </w:r>
          </w:p>
        </w:tc>
        <w:tc>
          <w:tcPr>
            <w:tcW w:type="dxa" w:w="33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E293B"/>
                <w:sz w:val="18"/>
                <w:szCs w:val="18"/>
              </w:rPr>
              <w:t xml:space="preserve">HSA/FSA eligibility documentation, physician sign-off records</w:t>
            </w:r>
          </w:p>
        </w:tc>
      </w:tr>
      <w:tr>
        <w:tc>
          <w:tcPr>
            <w:tcW w:type="dxa" w:w="260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QuestionnaireResponse</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CII and CRI scored instruments</w:t>
            </w:r>
          </w:p>
        </w:tc>
        <w:tc>
          <w:tcPr>
            <w:tcW w:type="dxa" w:w="3380"/>
            <w:tcBorders>
              <w:top w:val="single" w:color="D1D5DB" w:sz="1"/>
              <w:left w:val="single" w:color="D1D5DB" w:sz="1"/>
              <w:bottom w:val="single" w:color="D1D5DB" w:sz="1"/>
              <w:right w:val="single" w:color="D1D5DB" w:sz="1"/>
            </w:tcBorders>
            <w:shd w:fill="E6F3F1" w:val="clear"/>
            <w:tcMar>
              <w:top w:type="dxa" w:w="60"/>
              <w:left w:type="dxa" w:w="100"/>
              <w:bottom w:type="dxa" w:w="60"/>
              <w:right w:type="dxa" w:w="100"/>
            </w:tcMar>
          </w:tcPr>
          <w:p>
            <w:r>
              <w:rPr>
                <w:rFonts w:ascii="Arial" w:cs="Arial" w:eastAsia="Arial" w:hAnsi="Arial"/>
                <w:color w:val="1E293B"/>
                <w:sz w:val="18"/>
                <w:szCs w:val="18"/>
              </w:rPr>
              <w:t xml:space="preserve">Standardized caregiver burden and acuity scoring for CMS reporting</w:t>
            </w:r>
          </w:p>
        </w:tc>
      </w:tr>
    </w:tbl>
    <w:p>
      <w:pPr>
        <w:pStyle w:val="Heading2"/>
        <w:spacing w:before="200"/>
      </w:pPr>
      <w:r>
        <w:t xml:space="preserve">3. Interoperability and Health Information Exchange</w:t>
      </w:r>
    </w:p>
    <w:p>
      <w:pPr>
        <w:spacing w:after="120" w:before="0"/>
      </w:pPr>
      <w:r>
        <w:rPr>
          <w:rFonts w:ascii="Arial" w:cs="Arial" w:eastAsia="Arial" w:hAnsi="Arial"/>
          <w:color w:val="1E293B"/>
          <w:sz w:val="20"/>
          <w:szCs w:val="20"/>
        </w:rPr>
        <w:t xml:space="preserve">co-op.care’s interoperability strategy operates on three levels: real-time discharge coordination with hospital systems, continuous data exchange with payers and CMS, and longitudinal data aggregation for population health analytics.</w:t>
      </w:r>
    </w:p>
    <w:p>
      <w:pPr>
        <w:spacing w:after="120" w:before="0"/>
      </w:pPr>
      <w:r>
        <w:rPr>
          <w:rFonts w:ascii="Arial" w:cs="Arial" w:eastAsia="Arial" w:hAnsi="Arial"/>
          <w:b/>
          <w:bCs/>
          <w:color w:val="1E293B"/>
          <w:sz w:val="20"/>
          <w:szCs w:val="20"/>
        </w:rPr>
        <w:t xml:space="preserve">Discharge Coordination via ADT Integration: </w:t>
      </w:r>
      <w:r>
        <w:rPr>
          <w:rFonts w:ascii="Arial" w:cs="Arial" w:eastAsia="Arial" w:hAnsi="Arial"/>
          <w:color w:val="1E293B"/>
          <w:sz w:val="20"/>
          <w:szCs w:val="20"/>
        </w:rPr>
        <w:t xml:space="preserve">co-op.care integrates with the PointClickCare/Collective Medical Admit-Discharge-Transfer (ADT) notification network. When a patient enrolled in co-op.care services is discharged from a participating hospital, our system receives a real-time ADT notification and automatically initiates the care activation workflow: caregiver dispatch, care plan generation, and physician oversight notification. This eliminates the manual coordination gap that typically delays post-acute care initiation by 48–72 hours.</w:t>
      </w:r>
    </w:p>
    <w:p>
      <w:pPr>
        <w:spacing w:after="120" w:before="0"/>
      </w:pPr>
      <w:r>
        <w:rPr>
          <w:rFonts w:ascii="Arial" w:cs="Arial" w:eastAsia="Arial" w:hAnsi="Arial"/>
          <w:b/>
          <w:bCs/>
          <w:color w:val="1E293B"/>
          <w:sz w:val="20"/>
          <w:szCs w:val="20"/>
        </w:rPr>
        <w:t xml:space="preserve">Bidirectional Hospital Data Exchange: </w:t>
      </w:r>
      <w:r>
        <w:rPr>
          <w:rFonts w:ascii="Arial" w:cs="Arial" w:eastAsia="Arial" w:hAnsi="Arial"/>
          <w:color w:val="1E293B"/>
          <w:sz w:val="20"/>
          <w:szCs w:val="20"/>
        </w:rPr>
        <w:t xml:space="preserve">Unlike traditional home care agencies that operate as data endpoints, co-op.care functions as a bidirectional data node. Clinical observations, caregiver assessments, and wearable biometric data generated in the home are structured as FHIR resources and transmitted back to the discharging hospital’s clinical system. This enables hospital care teams to maintain visibility into the patient’s post-discharge trajectory, supporting proactive intervention before readmission becomes necessary.</w:t>
      </w:r>
    </w:p>
    <w:p>
      <w:pPr>
        <w:spacing w:after="120" w:before="0"/>
      </w:pPr>
      <w:r>
        <w:rPr>
          <w:rFonts w:ascii="Arial" w:cs="Arial" w:eastAsia="Arial" w:hAnsi="Arial"/>
          <w:b/>
          <w:bCs/>
          <w:color w:val="1E293B"/>
          <w:sz w:val="20"/>
          <w:szCs w:val="20"/>
        </w:rPr>
        <w:t xml:space="preserve">CMS Reporting and Outcome Measurement: </w:t>
      </w:r>
      <w:r>
        <w:rPr>
          <w:rFonts w:ascii="Arial" w:cs="Arial" w:eastAsia="Arial" w:hAnsi="Arial"/>
          <w:color w:val="1E293B"/>
          <w:sz w:val="20"/>
          <w:szCs w:val="20"/>
        </w:rPr>
        <w:t xml:space="preserve">All ACCESS Model outcome reporting is generated directly from co-op.care’s FHIR data store. Because clinical data is structured at the point of origin, outcome measurement is a query against existing data rather than a separate reporting exercise. This reduces administrative burden and ensures that reported outcomes reflect actual clinical reality.</w:t>
      </w:r>
    </w:p>
    <w:p>
      <w:pPr>
        <w:pStyle w:val="Heading2"/>
      </w:pPr>
      <w:r>
        <w:t xml:space="preserve">4. Continuous Health Monitoring and Wearable Integration</w:t>
      </w:r>
    </w:p>
    <w:p>
      <w:pPr>
        <w:spacing w:after="120" w:before="0"/>
      </w:pPr>
      <w:r>
        <w:rPr>
          <w:rFonts w:ascii="Arial" w:cs="Arial" w:eastAsia="Arial" w:hAnsi="Arial"/>
          <w:color w:val="1E293B"/>
          <w:sz w:val="20"/>
          <w:szCs w:val="20"/>
        </w:rPr>
        <w:t xml:space="preserve">co-op.care’s CareOS Health Intelligence layer integrates consumer wearable data (Apple Watch, Oura, Garmin, WHOOP) via the HealthMCP / Model Context Protocol framework. This transforms one-time clinical assessments into living clinical dashboards that generate continuous FHIR Observation resources.</w:t>
      </w:r>
    </w:p>
    <w:p>
      <w:pPr>
        <w:spacing w:after="120" w:before="0"/>
      </w:pPr>
      <w:r>
        <w:rPr>
          <w:rFonts w:ascii="Arial" w:cs="Arial" w:eastAsia="Arial" w:hAnsi="Arial"/>
          <w:color w:val="1E293B"/>
          <w:sz w:val="20"/>
          <w:szCs w:val="20"/>
        </w:rPr>
        <w:t xml:space="preserve">Wearable biometric data serves three functions within the ACCESS Model context: (1) continuous monitoring enables early detection of clinical deterioration, reducing preventable acute episodes; (2) longitudinal biometric trends provide objective evidence of outcome attainment for CMS reporting; and (3) the combination of wearable data with structured caregiver observations creates a clinically rich dataset that supports the 50% Outcome Attainment Threshold required under ACCESS.</w:t>
      </w:r>
    </w:p>
    <w:p>
      <w:pPr>
        <w:pStyle w:val="Heading2"/>
      </w:pPr>
      <w:r>
        <w:t xml:space="preserve">5. Clinical Governance and Human-in-the-Loop Oversight</w:t>
      </w:r>
    </w:p>
    <w:p>
      <w:pPr>
        <w:spacing w:after="120" w:before="0"/>
      </w:pPr>
      <w:r>
        <w:rPr>
          <w:rFonts w:ascii="Arial" w:cs="Arial" w:eastAsia="Arial" w:hAnsi="Arial"/>
          <w:color w:val="1E293B"/>
          <w:sz w:val="20"/>
          <w:szCs w:val="20"/>
        </w:rPr>
        <w:t xml:space="preserve">All AI-assisted clinical functions within co-op.care’s data infrastructure operate under mandatory human-in-the-loop oversight, consistent with Colorado SB24-205 requirements for high-risk AI systems in healthcare.</w:t>
      </w:r>
    </w:p>
    <w:p>
      <w:pPr>
        <w:spacing w:after="120" w:before="0"/>
      </w:pPr>
      <w:r>
        <w:rPr>
          <w:rFonts w:ascii="Arial" w:cs="Arial" w:eastAsia="Arial" w:hAnsi="Arial"/>
          <w:b/>
          <w:bCs/>
          <w:color w:val="1E293B"/>
          <w:sz w:val="20"/>
          <w:szCs w:val="20"/>
        </w:rPr>
        <w:t xml:space="preserve">Clinical Director: </w:t>
      </w:r>
      <w:r>
        <w:rPr>
          <w:rFonts w:ascii="Arial" w:cs="Arial" w:eastAsia="Arial" w:hAnsi="Arial"/>
          <w:color w:val="1E293B"/>
          <w:sz w:val="20"/>
          <w:szCs w:val="20"/>
        </w:rPr>
        <w:t xml:space="preserve">Josh Emdur, DO serves as co-op.care’s Physician Clinical Director. Dr. Emdur is a Boulder Community Health hospitalist (since 2008), former CMO of SteadyMD, CMO of Automate Clinic (AI physician oversight platform), and holds active licenses in all 50 states. Dr. Emdur provides clinical sign-off on all AI-generated assessments, Letters of Medical Necessity, and care plan modifications.</w:t>
      </w:r>
    </w:p>
    <w:p>
      <w:pPr>
        <w:spacing w:after="120" w:before="0"/>
      </w:pPr>
      <w:r>
        <w:rPr>
          <w:rFonts w:ascii="Arial" w:cs="Arial" w:eastAsia="Arial" w:hAnsi="Arial"/>
          <w:b/>
          <w:bCs/>
          <w:color w:val="1E293B"/>
          <w:sz w:val="20"/>
          <w:szCs w:val="20"/>
        </w:rPr>
        <w:t xml:space="preserve">AI Oversight Protocol: </w:t>
      </w:r>
      <w:r>
        <w:rPr>
          <w:rFonts w:ascii="Arial" w:cs="Arial" w:eastAsia="Arial" w:hAnsi="Arial"/>
          <w:color w:val="1E293B"/>
          <w:sz w:val="20"/>
          <w:szCs w:val="20"/>
        </w:rPr>
        <w:t xml:space="preserve">co-op.care’s CII and CRI assessment instruments use AI-assisted clinical translation (Omaha System mapping, FHIR resource generation) that has achieved F1 scores of 0.90 for problem and symptom identification. However, given that a 10% error rate represents an unacceptable clinical and billing liability, all AI-generated clinical outputs are reviewed and signed by Dr. Emdur before transmission to external systems, CMS, or use in care plan decisions. This human-in-the-loop requirement is non-negotiable and structurally embedded in the workflow.</w:t>
      </w:r>
    </w:p>
    <w:p>
      <w:pPr>
        <w:pStyle w:val="Heading2"/>
      </w:pPr>
      <w:r>
        <w:t xml:space="preserve">6. Data Security and Privacy</w:t>
      </w:r>
    </w:p>
    <w:p>
      <w:pPr>
        <w:spacing w:after="120" w:before="0"/>
      </w:pPr>
      <w:r>
        <w:rPr>
          <w:rFonts w:ascii="Arial" w:cs="Arial" w:eastAsia="Arial" w:hAnsi="Arial"/>
          <w:color w:val="1E293B"/>
          <w:sz w:val="20"/>
          <w:szCs w:val="20"/>
        </w:rPr>
        <w:t xml:space="preserve">co-op.care’s data infrastructure is deployed on HIPAA-compliant cloud infrastructure with the following safeguards: encrypted data at rest and in transit (AES-256/TLS 1.3), role-based access controls aligned to care team roles, audit logging of all data access and modifications, Business Associate Agreements with all infrastructure partners (Aidbox/Health Samurai, PointClickCare), and patient-controlled data sharing consent managed through FHIR Consent resources.</w:t>
      </w:r>
    </w:p>
    <w:p>
      <w:pPr>
        <w:spacing w:after="120" w:before="0"/>
      </w:pPr>
      <w:r>
        <w:rPr>
          <w:rFonts w:ascii="Arial" w:cs="Arial" w:eastAsia="Arial" w:hAnsi="Arial"/>
          <w:color w:val="1E293B"/>
          <w:sz w:val="20"/>
          <w:szCs w:val="20"/>
        </w:rPr>
        <w:t xml:space="preserve">Data residency follows a distributed model: clinical data remains within co-op.care’s FHIR data store and is shared with external systems only through authenticated API connections with explicit patient consent. This approach minimizes data migration risk while enabling the system-wide reasoning and interoperability required for ACCESS Model participation.</w:t>
      </w:r>
    </w:p>
    <w:p>
      <w:pPr>
        <w:pStyle w:val="Heading2"/>
      </w:pPr>
      <w:r>
        <w:t xml:space="preserve">7. Scalability and Federation Architecture</w:t>
      </w:r>
    </w:p>
    <w:p>
      <w:pPr>
        <w:spacing w:after="120" w:before="0"/>
      </w:pPr>
      <w:r>
        <w:rPr>
          <w:rFonts w:ascii="Arial" w:cs="Arial" w:eastAsia="Arial" w:hAnsi="Arial"/>
          <w:color w:val="1E293B"/>
          <w:sz w:val="20"/>
          <w:szCs w:val="20"/>
        </w:rPr>
        <w:t xml:space="preserve">co-op.care’s technology infrastructure is designed for a federated cooperative model: a national technology layer (“national brain”) supporting locally-owned cooperative care delivery (“local hands”). Each local cooperative operates on the same FHIR R4 data infrastructure, enabling consistent clinical data generation and CMS reporting across all cooperative locations while maintaining local ownership and workforce autonomy.</w:t>
      </w:r>
    </w:p>
    <w:p>
      <w:pPr>
        <w:spacing w:after="120" w:before="0"/>
      </w:pPr>
      <w:r>
        <w:rPr>
          <w:rFonts w:ascii="Arial" w:cs="Arial" w:eastAsia="Arial" w:hAnsi="Arial"/>
          <w:color w:val="1E293B"/>
          <w:sz w:val="20"/>
          <w:szCs w:val="20"/>
        </w:rPr>
        <w:t xml:space="preserve">This architecture directly supports ACCESS Model scalability. As co-op.care establishes additional cooperative locations, each new site inherits the full clinical data infrastructure, assessment instruments, and interoperability connections. New sites generate ACCESS-eligible clinical data from day one of operations, without requiring separate technology builds or data migration projects.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  ·  blaine@co-op.care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D" w:sz="4" w:space="4"/>
      </w:pBdr>
      <w:tabs>
        <w:tab w:val="right" w:pos="9026"/>
      </w:tabs>
    </w:pPr>
    <w:r>
      <w:rPr>
        <w:rFonts w:ascii="Arial" w:cs="Arial" w:eastAsia="Arial" w:hAnsi="Arial"/>
        <w:color w:val="6B7280"/>
        <w:sz w:val="18"/>
        <w:szCs w:val="18"/>
      </w:rPr>
      <w:t xml:space="preserve">co-op.care  ·  CMS ACCESS Model Application</w:t>
    </w:r>
    <w:r>
      <w:rPr>
        <w:rFonts w:ascii="Arial" w:cs="Arial" w:eastAsia="Arial" w:hAnsi="Arial"/>
        <w:color w:val="9CA3AF"/>
        <w:sz w:val="16"/>
        <w:szCs w:val="16"/>
      </w:rPr>
      <w:t xml:space="preserve">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7A6D"/>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2026-03-09T04:55:29.137Z</dcterms:created>
  <dcterms:modified xsi:type="dcterms:W3CDTF">2026-03-09T04:55:29.138Z</dcterms:modified>
</cp:coreProperties>
</file>

<file path=docProps/custom.xml><?xml version="1.0" encoding="utf-8"?>
<Properties xmlns="http://schemas.openxmlformats.org/officeDocument/2006/custom-properties" xmlns:vt="http://schemas.openxmlformats.org/officeDocument/2006/docPropsVTypes"/>
</file>