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Health Information Technology and Data Infrastructure</w:t>
      </w:r>
    </w:p>
    <w:p>
      <w:r>
        <w:t>This section describes co-op.care's approach to health information technology (HIT) infrastructure, clinical data interoperability, and the technical systems that enable continuous, bidirectional data exchange between community-based care delivery and the broader healthcare ecosystem.</w:t>
      </w:r>
    </w:p>
    <w:p>
      <w:pPr>
        <w:pStyle w:val="Heading2"/>
      </w:pPr>
      <w:r>
        <w:t>1. Architectural Overview: Community Care as a Data Node</w:t>
      </w:r>
    </w:p>
    <w:p>
      <w:r>
        <w:t>co-op.care operates as a community-side clinical data infrastructure layer that generates, standardizes, and transmits structured health information from the home environment back into hospital and payer systems. Our architecture is designed around a core principle: data should be generated where care happens and flow seamlessly to every stakeholder who needs it — without requiring patients or families to navigate fragmented systems.</w:t>
      </w:r>
    </w:p>
    <w:p>
      <w:r>
        <w:t>The healthcare system currently suffers from a well-documented data fragmentation problem. Hospital systems generate vast quantities of clinical data, but this information drops off precipitously at the point of discharge. Patients transition from data-rich acute environments into data-poor home settings, creating blind spots that drive preventable readmissions, delayed interventions, and duplicative assessments. co-op.care addresses this structural gap by extending the clinical data stream into the community.</w:t>
      </w:r>
    </w:p>
    <w:p>
      <w:r>
        <w:t>co-op.care's technical architecture uses a dual-database design: SurrealDB handles operational data (scheduling, task matching, ledger transactions) while Aidbox (Health Samurai) serves as the dedicated FHIR R4 clinical data store. A transactional outbox pattern guarantees that every clinical event — assessment completion, care plan update, advance directive filing — is reliably synchronized to the FHIR layer with at-least-once delivery semantics and exponential backoff retry logic.</w:t>
      </w:r>
    </w:p>
    <w:p>
      <w:pPr>
        <w:pStyle w:val="Heading2"/>
      </w:pPr>
      <w:r>
        <w:t>2. FHIR R4-Native Data Foundation</w:t>
      </w:r>
    </w:p>
    <w:p>
      <w:r>
        <w:t>co-op.care's data infrastructure is built natively on the HL7 FHIR R4 standard, deployed on the Aidbox platform (Health Samurai). This is not a translation layer retrofitted onto a legacy system — all clinical data is generated, stored, and transmitted as FHIR resources from the point of origin.</w:t>
      </w:r>
    </w:p>
    <w:p>
      <w:r>
        <w:rPr>
          <w:b/>
        </w:rPr>
        <w:t xml:space="preserve">Clinical Taxonomy: </w:t>
      </w:r>
      <w:r>
        <w:t>All care assessments use the Omaha System classification, a validated nursing taxonomy with 42 defined problems across four domains (Environmental, Psychosocial, Physiological, Health-Related Behaviors). co-op.care's platform includes the complete Omaha System reference with ICD-10 crosswalk mappings for 23 LMN-eligible problems. An auto-coding engine maps Time Bank task categories to Omaha problem codes automatically — for example, meal preparation tasks map to Problem #28 (Digestion-Hydration), transportation to Problem #05 (Communication with Community Resources), and companionship visits to Problem #06 (Social Contact). This enables consistent clinical language across all five co-op.care care sources: Conductor (trained family caregiver), Time Bank (neighbor support), W-2 personal care aides, W-2 skilled professionals (RN/CNA/PT/OT/SLP), and Community Wellness Referrals.</w:t>
      </w:r>
    </w:p>
    <w:p>
      <w:r>
        <w:rPr>
          <w:b/>
        </w:rPr>
        <w:t xml:space="preserve">Standardized Assessments: </w:t>
      </w:r>
      <w:r>
        <w:t>co-op.care has developed three validated assessment instruments that generate structured FHIR-formatted clinical data:</w:t>
      </w:r>
    </w:p>
    <w:p>
      <w:pPr>
        <w:pStyle w:val="ListBullet"/>
      </w:pPr>
      <w:r>
        <w:t>Caregiver Intensity Index (CII): A 12-dimension assessment (scored 0–120) that quantifies caregiver burden across physical, emotional, and logistical domains. Scores map to clinical zones — Green (≤40), Yellow (41–79), Red (≥80) — triggering graduated intervention protocols. A 3-question Mini CII variant enables rapid screening without authentication, lowering the barrier to initial engagement.</w:t>
      </w:r>
    </w:p>
    <w:p>
      <w:pPr>
        <w:pStyle w:val="ListBullet"/>
      </w:pPr>
      <w:r>
        <w:t>Clinical Risk Index (CRI): A 14-factor weighted assessment (scored 14.4–72.0) that evaluates care recipient acuity. Acuity classifications (low, moderate, high, critical) drive clinical workflows — high-acuity scores automatically queue Letter of Medical Necessity (LMN) generation and trigger physician review with a 24-hour SLA.</w:t>
      </w:r>
    </w:p>
    <w:p>
      <w:pPr>
        <w:pStyle w:val="ListBullet"/>
      </w:pPr>
      <w:r>
        <w:t>Knowledge-Behavior-Status (KBS): An Omaha System outcomes tracking instrument administered at 0, 30, 60, and 90-day intervals. Each assessment scores Knowledge (1–5), Behavior (1–5), and Status (1–5) per Omaha problem. Automated trend analysis escalates to physician review when a ≥2-point decline is detected across consecutive assessments.</w:t>
      </w:r>
    </w:p>
    <w:p>
      <w:r>
        <w:t>All three instruments are stored in SurrealDB and synchronized to Aidbox as FHIR QuestionnaireResponse resources. Assessment history is queryable through the FHIR API for longitudinal outcome reporting.</w:t>
      </w:r>
    </w:p>
    <w:p/>
    <w:p>
      <w:r>
        <w:rPr>
          <w:b/>
        </w:rPr>
        <w:t>Key FHIR Resources Generated by co-op.care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FHIR Resource</w:t>
            </w:r>
          </w:p>
        </w:tc>
        <w:tc>
          <w:tcPr>
            <w:tcW w:type="dxa" w:w="2880"/>
          </w:tcPr>
          <w:p>
            <w:r>
              <w:rPr>
                <w:b/>
              </w:rPr>
              <w:t>Data Source</w:t>
            </w:r>
          </w:p>
        </w:tc>
        <w:tc>
          <w:tcPr>
            <w:tcW w:type="dxa" w:w="2880"/>
          </w:tcPr>
          <w:p>
            <w:r>
              <w:rPr>
                <w:b/>
              </w:rPr>
              <w:t>Sync Direction</w:t>
            </w:r>
          </w:p>
        </w:tc>
      </w:tr>
      <w:tr>
        <w:tc>
          <w:tcPr>
            <w:tcW w:type="dxa" w:w="2880"/>
          </w:tcPr>
          <w:p>
            <w:r>
              <w:t>Patient</w:t>
            </w:r>
          </w:p>
        </w:tc>
        <w:tc>
          <w:tcPr>
            <w:tcW w:type="dxa" w:w="2880"/>
          </w:tcPr>
          <w:p>
            <w:r>
              <w:t>Care recipient demographics, family relationships</w:t>
            </w:r>
          </w:p>
        </w:tc>
        <w:tc>
          <w:tcPr>
            <w:tcW w:type="dxa" w:w="2880"/>
          </w:tcPr>
          <w:p>
            <w:r>
              <w:t>Outbound → Aidbox</w:t>
            </w:r>
          </w:p>
        </w:tc>
      </w:tr>
      <w:tr>
        <w:tc>
          <w:tcPr>
            <w:tcW w:type="dxa" w:w="2880"/>
          </w:tcPr>
          <w:p>
            <w:r>
              <w:t>Encounter</w:t>
            </w:r>
          </w:p>
        </w:tc>
        <w:tc>
          <w:tcPr>
            <w:tcW w:type="dxa" w:w="2880"/>
          </w:tcPr>
          <w:p>
            <w:r>
              <w:t>EVV records, Time Bank task completions, visit documentation</w:t>
            </w:r>
          </w:p>
        </w:tc>
        <w:tc>
          <w:tcPr>
            <w:tcW w:type="dxa" w:w="2880"/>
          </w:tcPr>
          <w:p>
            <w:r>
              <w:t>Bidirectional</w:t>
            </w:r>
          </w:p>
        </w:tc>
      </w:tr>
      <w:tr>
        <w:tc>
          <w:tcPr>
            <w:tcW w:type="dxa" w:w="2880"/>
          </w:tcPr>
          <w:p>
            <w:r>
              <w:t>Observation</w:t>
            </w:r>
          </w:p>
        </w:tc>
        <w:tc>
          <w:tcPr>
            <w:tcW w:type="dxa" w:w="2880"/>
          </w:tcPr>
          <w:p>
            <w:r>
              <w:t>KBS outcomes, vitals, clinical measurements</w:t>
            </w:r>
          </w:p>
        </w:tc>
        <w:tc>
          <w:tcPr>
            <w:tcW w:type="dxa" w:w="2880"/>
          </w:tcPr>
          <w:p>
            <w:r>
              <w:t>Bidirectional</w:t>
            </w:r>
          </w:p>
        </w:tc>
      </w:tr>
      <w:tr>
        <w:tc>
          <w:tcPr>
            <w:tcW w:type="dxa" w:w="2880"/>
          </w:tcPr>
          <w:p>
            <w:r>
              <w:t>Condition</w:t>
            </w:r>
          </w:p>
        </w:tc>
        <w:tc>
          <w:tcPr>
            <w:tcW w:type="dxa" w:w="2880"/>
          </w:tcPr>
          <w:p>
            <w:r>
              <w:t>CII/CRI assessment-derived clinical problems (Omaha-coded)</w:t>
            </w:r>
          </w:p>
        </w:tc>
        <w:tc>
          <w:tcPr>
            <w:tcW w:type="dxa" w:w="2880"/>
          </w:tcPr>
          <w:p>
            <w:r>
              <w:t>Outbound → Aidbox</w:t>
            </w:r>
          </w:p>
        </w:tc>
      </w:tr>
      <w:tr>
        <w:tc>
          <w:tcPr>
            <w:tcW w:type="dxa" w:w="2880"/>
          </w:tcPr>
          <w:p>
            <w:r>
              <w:t>QuestionnaireResponse</w:t>
            </w:r>
          </w:p>
        </w:tc>
        <w:tc>
          <w:tcPr>
            <w:tcW w:type="dxa" w:w="2880"/>
          </w:tcPr>
          <w:p>
            <w:r>
              <w:t>CII, Mini CII, CRI scored instruments</w:t>
            </w:r>
          </w:p>
        </w:tc>
        <w:tc>
          <w:tcPr>
            <w:tcW w:type="dxa" w:w="2880"/>
          </w:tcPr>
          <w:p>
            <w:r>
              <w:t>Outbound → Aidbox</w:t>
            </w:r>
          </w:p>
        </w:tc>
      </w:tr>
      <w:tr>
        <w:tc>
          <w:tcPr>
            <w:tcW w:type="dxa" w:w="2880"/>
          </w:tcPr>
          <w:p>
            <w:r>
              <w:t>DocumentReference</w:t>
            </w:r>
          </w:p>
        </w:tc>
        <w:tc>
          <w:tcPr>
            <w:tcW w:type="dxa" w:w="2880"/>
          </w:tcPr>
          <w:p>
            <w:r>
              <w:t>Letters of Medical Necessity (with e-signature)</w:t>
            </w:r>
          </w:p>
        </w:tc>
        <w:tc>
          <w:tcPr>
            <w:tcW w:type="dxa" w:w="2880"/>
          </w:tcPr>
          <w:p>
            <w:r>
              <w:t>Outbound → Aidbox</w:t>
            </w:r>
          </w:p>
        </w:tc>
      </w:tr>
      <w:tr>
        <w:tc>
          <w:tcPr>
            <w:tcW w:type="dxa" w:w="2880"/>
          </w:tcPr>
          <w:p>
            <w:r>
              <w:t>CarePlan</w:t>
            </w:r>
          </w:p>
        </w:tc>
        <w:tc>
          <w:tcPr>
            <w:tcW w:type="dxa" w:w="2880"/>
          </w:tcPr>
          <w:p>
            <w:r>
              <w:t>Conductor care plans, intervention schedules</w:t>
            </w:r>
          </w:p>
        </w:tc>
        <w:tc>
          <w:tcPr>
            <w:tcW w:type="dxa" w:w="2880"/>
          </w:tcPr>
          <w:p>
            <w:r>
              <w:t>Outbound → Aidbox</w:t>
            </w:r>
          </w:p>
        </w:tc>
      </w:tr>
      <w:tr>
        <w:tc>
          <w:tcPr>
            <w:tcW w:type="dxa" w:w="2880"/>
          </w:tcPr>
          <w:p>
            <w:r>
              <w:t>Consent</w:t>
            </w:r>
          </w:p>
        </w:tc>
        <w:tc>
          <w:tcPr>
            <w:tcW w:type="dxa" w:w="2880"/>
          </w:tcPr>
          <w:p>
            <w:r>
              <w:t>Advance directives (living will, healthcare proxy, POLST, DNR)</w:t>
            </w:r>
          </w:p>
        </w:tc>
        <w:tc>
          <w:tcPr>
            <w:tcW w:type="dxa" w:w="2880"/>
          </w:tcPr>
          <w:p>
            <w:r>
              <w:t>Outbound → Aidbox</w:t>
            </w:r>
          </w:p>
        </w:tc>
      </w:tr>
      <w:tr>
        <w:tc>
          <w:tcPr>
            <w:tcW w:type="dxa" w:w="2880"/>
          </w:tcPr>
          <w:p>
            <w:r>
              <w:t>Goal</w:t>
            </w:r>
          </w:p>
        </w:tc>
        <w:tc>
          <w:tcPr>
            <w:tcW w:type="dxa" w:w="2880"/>
          </w:tcPr>
          <w:p>
            <w:r>
              <w:t>Goals of care (comfort, function, longevity, autonomy, spiritual, legacy)</w:t>
            </w:r>
          </w:p>
        </w:tc>
        <w:tc>
          <w:tcPr>
            <w:tcW w:type="dxa" w:w="2880"/>
          </w:tcPr>
          <w:p>
            <w:r>
              <w:t>Outbound → Aidbox</w:t>
            </w:r>
          </w:p>
        </w:tc>
      </w:tr>
      <w:tr>
        <w:tc>
          <w:tcPr>
            <w:tcW w:type="dxa" w:w="2880"/>
          </w:tcPr>
          <w:p>
            <w:r>
              <w:t>Communication</w:t>
            </w:r>
          </w:p>
        </w:tc>
        <w:tc>
          <w:tcPr>
            <w:tcW w:type="dxa" w:w="2880"/>
          </w:tcPr>
          <w:p>
            <w:r>
              <w:t>Family conversation logs with emotional tone and decision tracking</w:t>
            </w:r>
          </w:p>
        </w:tc>
        <w:tc>
          <w:tcPr>
            <w:tcW w:type="dxa" w:w="2880"/>
          </w:tcPr>
          <w:p>
            <w:r>
              <w:t>Outbound → Aidbox</w:t>
            </w:r>
          </w:p>
        </w:tc>
      </w:tr>
    </w:tbl>
    <w:p>
      <w:pPr>
        <w:pStyle w:val="Heading2"/>
      </w:pPr>
      <w:r>
        <w:t>3. Advance Care Planning as Structured Clinical Data</w:t>
      </w:r>
    </w:p>
    <w:p>
      <w:r>
        <w:t>co-op.care treats advance care planning not as a one-time document filing exercise, but as a living clinical dataset. The platform's ACP module captures advance directives, goals of care, care preferences, family conversation logs, and preparedness checklists — all stored as structured data and synchronized to FHIR resources.</w:t>
      </w:r>
    </w:p>
    <w:p>
      <w:r>
        <w:rPr>
          <w:b/>
        </w:rPr>
        <w:t xml:space="preserve">Advance Directives: </w:t>
      </w:r>
      <w:r>
        <w:t>Living wills, healthcare proxy designations, POLST forms, DNR orders, and organ donation preferences are captured through a guided wizard workflow and stored as FHIR Consent resources (scope: 'adr', category: LOINC 75320-2). Document uploads are linked via FHIR DocumentReference. This creates a queryable, transmittable clinical record — not a PDF sitting in a file drawer.</w:t>
      </w:r>
    </w:p>
    <w:p>
      <w:r>
        <w:rPr>
          <w:b/>
        </w:rPr>
        <w:t xml:space="preserve">Goals of Care: </w:t>
      </w:r>
      <w:r>
        <w:t>A guided conversation tool (not a clinical form) captures what matters most to the care recipient across six domains: comfort, function, longevity, autonomy, spiritual wishes, and legacy. These are mapped to FHIR Goal resources with custom category CodeSystems registered in Aidbox, enabling hospital care teams to query a patient's goals of care at the point of admission — closing a critical information gap that currently drives unwanted aggressive interventions.</w:t>
      </w:r>
    </w:p>
    <w:p>
      <w:r>
        <w:rPr>
          <w:b/>
        </w:rPr>
        <w:t xml:space="preserve">Family Conversations: </w:t>
      </w:r>
      <w:r>
        <w:t>Family meeting logs capture participants, topics discussed, decisions made, next steps, and emotional tone — mapped to FHIR Communication resources. This creates a longitudinal record of family care decision-making that supports continuity across care transitions.</w:t>
      </w:r>
    </w:p>
    <w:p>
      <w:r>
        <w:t>Within the ACCESS Model context, this ACP data infrastructure addresses a documented gap: most home care agencies have no structured mechanism for capturing or transmitting advance care preferences. co-op.care's approach ensures that goals-of-care data generated in the home is available to hospital teams at the point of readmission, directly supporting the model's readmission reduction objectives.</w:t>
      </w:r>
    </w:p>
    <w:p>
      <w:pPr>
        <w:pStyle w:val="Heading2"/>
      </w:pPr>
      <w:r>
        <w:t>4. Interoperability and Health Information Exchange</w:t>
      </w:r>
    </w:p>
    <w:p>
      <w:r>
        <w:t>co-op.care's interoperability strategy operates on three levels: real-time discharge coordination with hospital systems, continuous data exchange with payers and CMS, and longitudinal data aggregation for population health analytics.</w:t>
      </w:r>
    </w:p>
    <w:p>
      <w:r>
        <w:rPr>
          <w:b/>
        </w:rPr>
        <w:t xml:space="preserve">Discharge Coordination via ADT Integration: </w:t>
      </w:r>
      <w:r>
        <w:t>co-op.care's architecture supports integration with Admit-Discharge-Transfer (ADT) notification networks (including PointClickCare/Collective Medical). When a patient enrolled in co-op.care services is discharged from a participating hospital, the system receives an ADT notification via FHIR Encounter webhook and automatically initiates the care activation workflow: caregiver dispatch, care plan generation, and physician oversight notification. The platform's bidirectional webhook infrastructure (Aidbox → SurrealDB reverse sync) provides the technical foundation for this integration. Full ADT network enrollment is planned for Phase 2 deployment concurrent with the first hospital partnership.</w:t>
      </w:r>
    </w:p>
    <w:p>
      <w:r>
        <w:rPr>
          <w:b/>
        </w:rPr>
        <w:t xml:space="preserve">Bidirectional Clinical Data Exchange: </w:t>
      </w:r>
      <w:r>
        <w:t>Unlike traditional home care agencies that operate as data endpoints, co-op.care functions as a bidirectional data node. Clinical observations, caregiver assessments, and structured outcome data generated in the home are stored as FHIR resources in Aidbox and made available to authorized external systems through standard FHIR REST APIs. The platform currently supports outbound sync for 10 FHIR resource types and inbound webhook processing for Encounter and Observation resources. This enables hospital care teams to maintain visibility into the patient's post-discharge trajectory, supporting proactive intervention before readmission becomes necessary.</w:t>
      </w:r>
    </w:p>
    <w:p>
      <w:r>
        <w:rPr>
          <w:b/>
        </w:rPr>
        <w:t xml:space="preserve">CMS Reporting and Outcome Measurement: </w:t>
      </w:r>
      <w:r>
        <w:t>All ACCESS Model outcome reporting is generated directly from co-op.care's FHIR data store. Because clinical data is structured at the point of origin using the Omaha System taxonomy with ICD-10 crosswalk mappings, outcome measurement is a query against existing data rather than a separate reporting exercise. This reduces administrative burden and ensures that reported outcomes reflect actual clinical reality.</w:t>
      </w:r>
    </w:p>
    <w:p>
      <w:pPr>
        <w:pStyle w:val="Heading2"/>
      </w:pPr>
      <w:r>
        <w:t>5. Continuous Health Monitoring and Wearable Integration</w:t>
      </w:r>
    </w:p>
    <w:p>
      <w:r>
        <w:t>co-op.care's platform is architected to integrate consumer wearable data (Apple Watch, Oura, Garmin, WHOOP) as continuous FHIR Observation resources. The Health Intelligence layer, planned for Phase 2 deployment, will use the Model Context Protocol (MCP) framework to normalize device-specific data formats into standardized clinical observations.</w:t>
      </w:r>
    </w:p>
    <w:p>
      <w:r>
        <w:t>The infrastructure supporting this capability is already in place: the FHIR Observation resource type is implemented with bidirectional sync, the Omaha System taxonomy includes physiological problems that map to biometric indicators, and the KBS outcome tracking instrument provides the clinical framework for interpreting trend data. What remains is the device authentication and data ingestion pipeline — a bounded engineering task, not an architectural redesign.</w:t>
      </w:r>
    </w:p>
    <w:p>
      <w:r>
        <w:t>Within the ACCESS Model context, wearable integration serves three functions: (1) continuous monitoring enables early detection of clinical deterioration, reducing preventable acute episodes; (2) longitudinal biometric trends provide objective evidence of outcome attainment for CMS reporting; and (3) the combination of wearable data with structured caregiver observations creates a clinically rich dataset that supports the 50% Outcome Attainment Threshold.</w:t>
      </w:r>
    </w:p>
    <w:p>
      <w:pPr>
        <w:pStyle w:val="Heading2"/>
      </w:pPr>
      <w:r>
        <w:t>6. Clinical Governance and Human-in-the-Loop Oversight</w:t>
      </w:r>
    </w:p>
    <w:p>
      <w:r>
        <w:t>All AI-assisted clinical functions within co-op.care's data infrastructure operate under mandatory human-in-the-loop oversight, consistent with Colorado SB24-205 requirements for high-risk AI systems in healthcare.</w:t>
      </w:r>
    </w:p>
    <w:p>
      <w:r>
        <w:rPr>
          <w:b/>
        </w:rPr>
        <w:t xml:space="preserve">Clinical Director: </w:t>
      </w:r>
      <w:r>
        <w:t>Josh Emdur, DO serves as co-op.care's Physician Clinical Director. Dr. Emdur is a Boulder Community Health hospitalist (since 2008), former CMO of SteadyMD, CMO of Automate Clinic (AI physician oversight platform), and holds active licenses in all 50 states. Dr. Emdur provides clinical sign-off on all AI-generated assessments, Letters of Medical Necessity, and care plan modifications.</w:t>
      </w:r>
    </w:p>
    <w:p>
      <w:r>
        <w:rPr>
          <w:b/>
        </w:rPr>
        <w:t xml:space="preserve">AI Oversight Protocol: </w:t>
      </w:r>
      <w:r>
        <w:t>co-op.care's CII and CRI assessment instruments use AI-assisted clinical translation — specifically, Omaha System problem mapping and FHIR resource generation — that has achieved F1 scores of 0.90 for problem and symptom identification. Given that a 10% error rate represents an unacceptable clinical and billing liability, all AI-generated clinical outputs are reviewed and signed by Dr. Emdur before transmission to external systems, CMS, or use in care plan decisions. This human-in-the-loop requirement is non-negotiable and structurally embedded in the workflow — the system will not transmit unsigned clinical data.</w:t>
      </w:r>
    </w:p>
    <w:p>
      <w:pPr>
        <w:pStyle w:val="Heading2"/>
      </w:pPr>
      <w:r>
        <w:t>7. Data Security and Privacy</w:t>
      </w:r>
    </w:p>
    <w:p>
      <w:r>
        <w:t>co-op.care's data infrastructure is deployed on HIPAA-compliant cloud infrastructure with the following safeguards:</w:t>
      </w:r>
    </w:p>
    <w:p>
      <w:pPr>
        <w:pStyle w:val="ListBullet"/>
      </w:pPr>
      <w:r>
        <w:t>Encrypted data at rest and in transit (AES-256/TLS 1.3)</w:t>
      </w:r>
    </w:p>
    <w:p>
      <w:pPr>
        <w:pStyle w:val="ListBullet"/>
      </w:pPr>
      <w:r>
        <w:t>Role-based access controls aligned to care team roles (Conductor, Time Bank member, W-2 aide, skilled professional, physician, admin)</w:t>
      </w:r>
    </w:p>
    <w:p>
      <w:pPr>
        <w:pStyle w:val="ListBullet"/>
      </w:pPr>
      <w:r>
        <w:t>Audit logging of all data access and modifications</w:t>
      </w:r>
    </w:p>
    <w:p>
      <w:pPr>
        <w:pStyle w:val="ListBullet"/>
      </w:pPr>
      <w:r>
        <w:t>Business Associate Agreements with all infrastructure partners (Aidbox/Health Samurai, PointClickCare)</w:t>
      </w:r>
    </w:p>
    <w:p>
      <w:pPr>
        <w:pStyle w:val="ListBullet"/>
      </w:pPr>
      <w:r>
        <w:t>Patient-controlled data sharing consent managed through FHIR Consent resources</w:t>
      </w:r>
    </w:p>
    <w:p>
      <w:pPr>
        <w:pStyle w:val="ListBullet"/>
      </w:pPr>
      <w:r>
        <w:t>No PHI in error messages, API responses, or log outputs</w:t>
      </w:r>
    </w:p>
    <w:p>
      <w:r>
        <w:t>Data residency follows a distributed model: clinical data remains within co-op.care's FHIR data store and is shared with external systems only through authenticated API connections with explicit patient consent. The transactional outbox pattern ensures that data synchronization is auditable and recoverable — every sync event is logged with timestamp, resource type, and delivery status. This approach minimizes data migration risk while enabling the system-wide interoperability required for ACCESS Model participation.</w:t>
      </w:r>
    </w:p>
    <w:p>
      <w:pPr>
        <w:pStyle w:val="Heading2"/>
      </w:pPr>
      <w:r>
        <w:t>8. Scalability and Federation Architecture</w:t>
      </w:r>
    </w:p>
    <w:p>
      <w:r>
        <w:t>co-op.care's technology infrastructure is designed for a federated cooperative model: a national technology layer ("national brain") supporting locally-owned cooperative care delivery ("local hands"). Each local cooperative operates on the same FHIR R4 data infrastructure, enabling consistent clinical data generation and CMS reporting across all cooperative locations while maintaining local ownership and workforce autonomy.</w:t>
      </w:r>
    </w:p>
    <w:p>
      <w:r>
        <w:t>This architecture directly supports ACCESS Model scalability. As co-op.care establishes additional cooperative locations, each new site inherits the full clinical data infrastructure, assessment instruments, Omaha System taxonomy, and interoperability connections. New sites generate ACCESS-eligible clinical data from day one of operations, without requiring separate technology builds or data migration projects.</w:t>
      </w:r>
    </w:p>
    <w:p>
      <w:r>
        <w:t>The dual-database architecture (SurrealDB operational + Aidbox FHIR clinical) supports this federation model cleanly: local cooperatives manage their own operational data while clinical data flows through the shared FHIR layer for cross-site reporting, outcome aggregation, and CMS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