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20"/>
        <w:jc w:val="center"/>
      </w:pPr>
      <w:r>
        <w:rPr>
          <w:rFonts w:ascii="Arial" w:cs="Arial" w:eastAsia="Arial" w:hAnsi="Arial"/>
          <w:b/>
          <w:bCs/>
          <w:color w:val="0D9488"/>
          <w:sz w:val="52"/>
          <w:szCs w:val="52"/>
        </w:rPr>
        <w:t xml:space="preserve">co-op.care</w:t>
      </w:r>
    </w:p>
    <w:p>
      <w:pPr>
        <w:spacing w:after="120"/>
        <w:jc w:val="center"/>
      </w:pPr>
      <w:r>
        <w:rPr>
          <w:rFonts w:ascii="Arial" w:cs="Arial" w:eastAsia="Arial" w:hAnsi="Arial"/>
          <w:i/>
          <w:iCs/>
          <w:color w:val="64748B"/>
          <w:sz w:val="22"/>
          <w:szCs w:val="22"/>
        </w:rPr>
        <w:t xml:space="preserve">The logic of the neighborhood.</w:t>
      </w:r>
    </w:p>
    <w:p>
      <w:pPr>
        <w:spacing w:after="80"/>
      </w:pPr>
      <w:r>
        <w:rPr>
          <w:sz w:val="8"/>
          <w:szCs w:val="8"/>
        </w:rPr>
        <w:t xml:space="preserve"/>
      </w:r>
    </w:p>
    <w:p>
      <w:pPr>
        <w:spacing w:after="80"/>
      </w:pPr>
      <w:r>
        <w:rPr>
          <w:sz w:val="8"/>
          <w:szCs w:val="8"/>
        </w:rPr>
        <w:t xml:space="preserve"/>
      </w:r>
    </w:p>
    <w:p>
      <w:pPr>
        <w:spacing w:after="20"/>
        <w:jc w:val="center"/>
      </w:pPr>
      <w:r>
        <w:rPr>
          <w:rFonts w:ascii="Arial" w:cs="Arial" w:eastAsia="Arial" w:hAnsi="Arial"/>
          <w:b/>
          <w:bCs/>
          <w:color w:val="1E293B"/>
          <w:sz w:val="40"/>
          <w:szCs w:val="40"/>
        </w:rPr>
        <w:t xml:space="preserve">CareOS Platform Architecture</w:t>
      </w:r>
    </w:p>
    <w:p>
      <w:pPr>
        <w:spacing w:after="20"/>
        <w:jc w:val="center"/>
      </w:pPr>
      <w:r>
        <w:rPr>
          <w:rFonts w:ascii="Arial" w:cs="Arial" w:eastAsia="Arial" w:hAnsi="Arial"/>
          <w:color w:val="1E293B"/>
          <w:sz w:val="36"/>
          <w:szCs w:val="36"/>
        </w:rPr>
        <w:t xml:space="preserve">&amp; Technical Infrastructure</w:t>
      </w:r>
    </w:p>
    <w:p>
      <w:pPr>
        <w:spacing w:after="80"/>
      </w:pPr>
      <w:r>
        <w:rPr>
          <w:sz w:val="8"/>
          <w:szCs w:val="8"/>
        </w:rPr>
        <w:t xml:space="preserve"/>
      </w:r>
    </w:p>
    <w:p>
      <w:pPr>
        <w:spacing w:after="20"/>
        <w:jc w:val="center"/>
      </w:pPr>
      <w:r>
        <w:rPr>
          <w:rFonts w:ascii="Arial" w:cs="Arial" w:eastAsia="Arial" w:hAnsi="Arial"/>
          <w:color w:val="1E293B"/>
          <w:sz w:val="36"/>
          <w:szCs w:val="36"/>
        </w:rPr>
        <w:t xml:space="preserve">&amp; Federated Economic Architecture</w:t>
      </w:r>
    </w:p>
    <w:p>
      <w:pPr>
        <w:spacing w:after="80"/>
      </w:pPr>
      <w:r>
        <w:rPr>
          <w:sz w:val="8"/>
          <w:szCs w:val="8"/>
        </w:rPr>
        <w:t xml:space="preserve"/>
      </w:r>
    </w:p>
    <w:p>
      <w:pPr>
        <w:pBdr>
          <w:bottom w:val="single" w:color="0D9488" w:sz="6" w:space="1"/>
        </w:pBdr>
        <w:spacing w:after="200"/>
        <w:jc w:val="center"/>
      </w:pPr>
      <w:r>
        <w:rPr>
          <w:sz w:val="2"/>
          <w:szCs w:val="2"/>
        </w:rPr>
        <w:t xml:space="preserve"/>
      </w:r>
    </w:p>
    <w:p>
      <w:pPr>
        <w:spacing w:after="80"/>
      </w:pPr>
      <w:r>
        <w:rPr>
          <w:sz w:val="8"/>
          <w:szCs w:val="8"/>
        </w:rPr>
        <w:t xml:space="preserve"/>
      </w:r>
    </w:p>
    <w:p>
      <w:pPr>
        <w:spacing w:after="20"/>
        <w:jc w:val="center"/>
      </w:pPr>
      <w:r>
        <w:rPr>
          <w:rFonts w:ascii="Arial" w:cs="Arial" w:eastAsia="Arial" w:hAnsi="Arial"/>
          <w:color w:val="64748B"/>
          <w:sz w:val="24"/>
          <w:szCs w:val="24"/>
        </w:rPr>
        <w:t xml:space="preserve">How we keep aging adults safe at home</w:t>
      </w:r>
    </w:p>
    <w:p>
      <w:pPr>
        <w:spacing w:after="20"/>
        <w:jc w:val="center"/>
      </w:pPr>
      <w:r>
        <w:rPr>
          <w:rFonts w:ascii="Arial" w:cs="Arial" w:eastAsia="Arial" w:hAnsi="Arial"/>
          <w:color w:val="64748B"/>
          <w:sz w:val="24"/>
          <w:szCs w:val="24"/>
        </w:rPr>
        <w:t xml:space="preserve">through cooperative labor, clinical AI, physician oversight,</w:t>
      </w:r>
    </w:p>
    <w:p>
      <w:pPr>
        <w:spacing w:after="20"/>
        <w:jc w:val="center"/>
      </w:pPr>
      <w:r>
        <w:rPr>
          <w:rFonts w:ascii="Arial" w:cs="Arial" w:eastAsia="Arial" w:hAnsi="Arial"/>
          <w:color w:val="64748B"/>
          <w:sz w:val="24"/>
          <w:szCs w:val="24"/>
        </w:rPr>
        <w:t xml:space="preserve">and a non-extractive economic architecture modeled on Mondragon</w:t>
      </w:r>
    </w:p>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20"/>
        <w:jc w:val="center"/>
      </w:pPr>
      <w:r>
        <w:rPr>
          <w:rFonts w:ascii="Arial" w:cs="Arial" w:eastAsia="Arial" w:hAnsi="Arial"/>
          <w:color w:val="94A3B8"/>
          <w:sz w:val="20"/>
          <w:szCs w:val="20"/>
        </w:rPr>
        <w:t xml:space="preserve">Version 1.0  ·  February 2026</w:t>
      </w:r>
    </w:p>
    <w:p>
      <w:pPr>
        <w:spacing w:after="20"/>
        <w:jc w:val="center"/>
      </w:pPr>
      <w:r>
        <w:rPr>
          <w:rFonts w:ascii="Arial" w:cs="Arial" w:eastAsia="Arial" w:hAnsi="Arial"/>
          <w:color w:val="94A3B8"/>
          <w:sz w:val="20"/>
          <w:szCs w:val="20"/>
        </w:rPr>
        <w:t xml:space="preserve">Prepared by Blaine Warkentine, Founder</w:t>
      </w:r>
    </w:p>
    <w:p>
      <w:pPr>
        <w:spacing w:after="20"/>
        <w:jc w:val="center"/>
      </w:pPr>
      <w:r>
        <w:rPr>
          <w:rFonts w:ascii="Arial" w:cs="Arial" w:eastAsia="Arial" w:hAnsi="Arial"/>
          <w:color w:val="0D9488"/>
          <w:sz w:val="20"/>
          <w:szCs w:val="20"/>
        </w:rPr>
        <w:t xml:space="preserve">blaine@co-op.care</w:t>
      </w:r>
    </w:p>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80"/>
      </w:pPr>
      <w:r>
        <w:rPr>
          <w:sz w:val="8"/>
          <w:szCs w:val="8"/>
        </w:rPr>
        <w:t xml:space="preserve"/>
      </w:r>
    </w:p>
    <w:p>
      <w:pPr>
        <w:spacing w:after="20"/>
        <w:jc w:val="center"/>
      </w:pPr>
      <w:r>
        <w:rPr>
          <w:rFonts w:ascii="Arial" w:cs="Arial" w:eastAsia="Arial" w:hAnsi="Arial"/>
          <w:color w:val="94A3B8"/>
          <w:sz w:val="18"/>
          <w:szCs w:val="18"/>
        </w:rPr>
        <w:t xml:space="preserve">FOR: Physicians · Hospital Partners · Investors · Grant Reviewers · Technical Collaborators</w:t>
      </w:r>
    </w:p>
    <w:p>
      <w:r>
        <w:r>
          <w:br w:type="page"/>
        </w:r>
      </w:r>
    </w:p>
    <w:p>
      <w:pPr>
        <w:pStyle w:val="Heading1"/>
        <w:spacing w:before="400" w:after="200"/>
      </w:pPr>
      <w:r>
        <w:rPr>
          <w:rFonts w:ascii="Arial" w:cs="Arial" w:eastAsia="Arial" w:hAnsi="Arial"/>
          <w:b/>
          <w:bCs/>
          <w:color w:val="1E293B"/>
          <w:sz w:val="34"/>
          <w:szCs w:val="34"/>
        </w:rPr>
        <w:t xml:space="preserve">Table of Contents</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bCs/>
          <w:color w:val="0D9488"/>
          <w:sz w:val="21"/>
          <w:szCs w:val="21"/>
        </w:rPr>
        <w:t xml:space="preserve">1.  </w:t>
      </w:r>
      <w:r>
        <w:rPr>
          <w:rFonts w:ascii="Arial" w:cs="Arial" w:eastAsia="Arial" w:hAnsi="Arial"/>
          <w:color w:val="1E293B"/>
          <w:sz w:val="21"/>
          <w:szCs w:val="21"/>
        </w:rPr>
        <w:t xml:space="preserve">The Problem We Solve</w:t>
      </w:r>
    </w:p>
    <w:p>
      <w:pPr>
        <w:spacing w:after="140" w:line="320"/>
      </w:pPr>
      <w:r>
        <w:rPr>
          <w:rFonts w:ascii="Arial" w:cs="Arial" w:eastAsia="Arial" w:hAnsi="Arial"/>
          <w:b/>
          <w:bCs/>
          <w:color w:val="0D9488"/>
          <w:sz w:val="21"/>
          <w:szCs w:val="21"/>
        </w:rPr>
        <w:t xml:space="preserve">2.  </w:t>
      </w:r>
      <w:r>
        <w:rPr>
          <w:rFonts w:ascii="Arial" w:cs="Arial" w:eastAsia="Arial" w:hAnsi="Arial"/>
          <w:color w:val="1E293B"/>
          <w:sz w:val="21"/>
          <w:szCs w:val="21"/>
        </w:rPr>
        <w:t xml:space="preserve">Architecture Overview: The 4-Layer Safety Model</w:t>
      </w:r>
    </w:p>
    <w:p>
      <w:pPr>
        <w:spacing w:after="140" w:line="320"/>
      </w:pPr>
      <w:r>
        <w:rPr>
          <w:rFonts w:ascii="Arial" w:cs="Arial" w:eastAsia="Arial" w:hAnsi="Arial"/>
          <w:b/>
          <w:bCs/>
          <w:color w:val="0D9488"/>
          <w:sz w:val="21"/>
          <w:szCs w:val="21"/>
        </w:rPr>
        <w:t xml:space="preserve">3.  </w:t>
      </w:r>
      <w:r>
        <w:rPr>
          <w:rFonts w:ascii="Arial" w:cs="Arial" w:eastAsia="Arial" w:hAnsi="Arial"/>
          <w:color w:val="1E293B"/>
          <w:sz w:val="21"/>
          <w:szCs w:val="21"/>
        </w:rPr>
        <w:t xml:space="preserve">Layer 1: CareCheck Assessment Suite (CII + CRI)</w:t>
      </w:r>
    </w:p>
    <w:p>
      <w:pPr>
        <w:spacing w:after="140" w:line="320"/>
      </w:pPr>
      <w:r>
        <w:rPr>
          <w:rFonts w:ascii="Arial" w:cs="Arial" w:eastAsia="Arial" w:hAnsi="Arial"/>
          <w:b/>
          <w:bCs/>
          <w:color w:val="0D9488"/>
          <w:sz w:val="21"/>
          <w:szCs w:val="21"/>
        </w:rPr>
        <w:t xml:space="preserve">4.  </w:t>
      </w:r>
      <w:r>
        <w:rPr>
          <w:rFonts w:ascii="Arial" w:cs="Arial" w:eastAsia="Arial" w:hAnsi="Arial"/>
          <w:color w:val="1E293B"/>
          <w:sz w:val="21"/>
          <w:szCs w:val="21"/>
        </w:rPr>
        <w:t xml:space="preserve">Layer 2: CareOS Clinical Intelligence Engine</w:t>
      </w:r>
    </w:p>
    <w:p>
      <w:pPr>
        <w:spacing w:after="140" w:line="320"/>
      </w:pPr>
      <w:r>
        <w:rPr>
          <w:rFonts w:ascii="Arial" w:cs="Arial" w:eastAsia="Arial" w:hAnsi="Arial"/>
          <w:b/>
          <w:bCs/>
          <w:color w:val="0D9488"/>
          <w:sz w:val="21"/>
          <w:szCs w:val="21"/>
        </w:rPr>
        <w:t xml:space="preserve">5.  </w:t>
      </w:r>
      <w:r>
        <w:rPr>
          <w:rFonts w:ascii="Arial" w:cs="Arial" w:eastAsia="Arial" w:hAnsi="Arial"/>
          <w:color w:val="1E293B"/>
          <w:sz w:val="21"/>
          <w:szCs w:val="21"/>
        </w:rPr>
        <w:t xml:space="preserve">Layer 3: Cooperative Labor — Worker-Owner Caregivers</w:t>
      </w:r>
    </w:p>
    <w:p>
      <w:pPr>
        <w:spacing w:after="140" w:line="320"/>
      </w:pPr>
      <w:r>
        <w:rPr>
          <w:rFonts w:ascii="Arial" w:cs="Arial" w:eastAsia="Arial" w:hAnsi="Arial"/>
          <w:b/>
          <w:bCs/>
          <w:color w:val="0D9488"/>
          <w:sz w:val="21"/>
          <w:szCs w:val="21"/>
        </w:rPr>
        <w:t xml:space="preserve">6.  </w:t>
      </w:r>
      <w:r>
        <w:rPr>
          <w:rFonts w:ascii="Arial" w:cs="Arial" w:eastAsia="Arial" w:hAnsi="Arial"/>
          <w:color w:val="1E293B"/>
          <w:sz w:val="21"/>
          <w:szCs w:val="21"/>
        </w:rPr>
        <w:t xml:space="preserve">Layer 4: Physician Clinical Oversight</w:t>
      </w:r>
    </w:p>
    <w:p>
      <w:pPr>
        <w:spacing w:after="140" w:line="320"/>
      </w:pPr>
      <w:r>
        <w:rPr>
          <w:rFonts w:ascii="Arial" w:cs="Arial" w:eastAsia="Arial" w:hAnsi="Arial"/>
          <w:b/>
          <w:bCs/>
          <w:color w:val="0D9488"/>
          <w:sz w:val="21"/>
          <w:szCs w:val="21"/>
        </w:rPr>
        <w:t xml:space="preserve">7.  </w:t>
      </w:r>
      <w:r>
        <w:rPr>
          <w:rFonts w:ascii="Arial" w:cs="Arial" w:eastAsia="Arial" w:hAnsi="Arial"/>
          <w:color w:val="1E293B"/>
          <w:sz w:val="21"/>
          <w:szCs w:val="21"/>
        </w:rPr>
        <w:t xml:space="preserve">FHIR Data Platform: Health Samurai Aidbox</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7.1 Foundational Architecture: The Metadata-Driven Engine</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7.2 Persistence Layer: PostgreSQL JSONB</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7.3 High-Performance Search and Indexing</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7.4 Interoperability: HL7 v2, C-CDA, and EHR Integration</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7.5 Security Engine: AccessPolicy and FHIR BALP</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7.6 Analytics: SQL on FHIR v2</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7.7 Language-Specific SDKs</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7.8 FHIR Schema Engine Migration</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7.9 Deployment Architecture and Cost</w:t>
      </w:r>
    </w:p>
    <w:p>
      <w:pPr>
        <w:spacing w:after="140" w:line="320"/>
      </w:pPr>
      <w:r>
        <w:rPr>
          <w:rFonts w:ascii="Arial" w:cs="Arial" w:eastAsia="Arial" w:hAnsi="Arial"/>
          <w:b w:val="false"/>
          <w:bCs w:val="false"/>
          <w:color w:val="64748B"/>
          <w:sz w:val="21"/>
          <w:szCs w:val="21"/>
        </w:rPr>
        <w:t xml:space="preserve">      </w:t>
      </w:r>
      <w:r>
        <w:rPr>
          <w:rFonts w:ascii="Arial" w:cs="Arial" w:eastAsia="Arial" w:hAnsi="Arial"/>
          <w:color w:val="64748B"/>
          <w:sz w:val="19"/>
          <w:szCs w:val="19"/>
        </w:rPr>
        <w:t xml:space="preserve">    7.10 Aidbox Technical References (43 Citations)</w:t>
      </w:r>
    </w:p>
    <w:p>
      <w:pPr>
        <w:spacing w:after="140" w:line="320"/>
      </w:pPr>
      <w:r>
        <w:rPr>
          <w:rFonts w:ascii="Arial" w:cs="Arial" w:eastAsia="Arial" w:hAnsi="Arial"/>
          <w:b/>
          <w:bCs/>
          <w:color w:val="0D9488"/>
          <w:sz w:val="21"/>
          <w:szCs w:val="21"/>
        </w:rPr>
        <w:t xml:space="preserve">8.  </w:t>
      </w:r>
      <w:r>
        <w:rPr>
          <w:rFonts w:ascii="Arial" w:cs="Arial" w:eastAsia="Arial" w:hAnsi="Arial"/>
          <w:color w:val="1E293B"/>
          <w:sz w:val="21"/>
          <w:szCs w:val="21"/>
        </w:rPr>
        <w:t xml:space="preserve">Data Flow: From Voice Note to Billing Code</w:t>
      </w:r>
    </w:p>
    <w:p>
      <w:pPr>
        <w:spacing w:after="140" w:line="320"/>
      </w:pPr>
      <w:r>
        <w:rPr>
          <w:rFonts w:ascii="Arial" w:cs="Arial" w:eastAsia="Arial" w:hAnsi="Arial"/>
          <w:b/>
          <w:bCs/>
          <w:color w:val="0D9488"/>
          <w:sz w:val="21"/>
          <w:szCs w:val="21"/>
        </w:rPr>
        <w:t xml:space="preserve">9.  </w:t>
      </w:r>
      <w:r>
        <w:rPr>
          <w:rFonts w:ascii="Arial" w:cs="Arial" w:eastAsia="Arial" w:hAnsi="Arial"/>
          <w:color w:val="1E293B"/>
          <w:sz w:val="21"/>
          <w:szCs w:val="21"/>
        </w:rPr>
        <w:t xml:space="preserve">Federal Revenue Integration: ACCESS Model + PIN/CHI</w:t>
      </w:r>
    </w:p>
    <w:p>
      <w:pPr>
        <w:spacing w:after="140" w:line="320"/>
      </w:pPr>
      <w:r>
        <w:rPr>
          <w:rFonts w:ascii="Arial" w:cs="Arial" w:eastAsia="Arial" w:hAnsi="Arial"/>
          <w:b/>
          <w:bCs/>
          <w:color w:val="0D9488"/>
          <w:sz w:val="21"/>
          <w:szCs w:val="21"/>
        </w:rPr>
        <w:t xml:space="preserve">10.  </w:t>
      </w:r>
      <w:r>
        <w:rPr>
          <w:rFonts w:ascii="Arial" w:cs="Arial" w:eastAsia="Arial" w:hAnsi="Arial"/>
          <w:color w:val="1E293B"/>
          <w:sz w:val="21"/>
          <w:szCs w:val="21"/>
        </w:rPr>
        <w:t xml:space="preserve">Security, Compliance, and AI Governance</w:t>
      </w:r>
    </w:p>
    <w:p>
      <w:pPr>
        <w:spacing w:after="140" w:line="320"/>
      </w:pPr>
      <w:r>
        <w:rPr>
          <w:rFonts w:ascii="Arial" w:cs="Arial" w:eastAsia="Arial" w:hAnsi="Arial"/>
          <w:b/>
          <w:bCs/>
          <w:color w:val="0D9488"/>
          <w:sz w:val="21"/>
          <w:szCs w:val="21"/>
        </w:rPr>
        <w:t xml:space="preserve">11.  </w:t>
      </w:r>
      <w:r>
        <w:rPr>
          <w:rFonts w:ascii="Arial" w:cs="Arial" w:eastAsia="Arial" w:hAnsi="Arial"/>
          <w:color w:val="1E293B"/>
          <w:sz w:val="21"/>
          <w:szCs w:val="21"/>
        </w:rPr>
        <w:t xml:space="preserve">Technology Stack Summary</w:t>
      </w:r>
    </w:p>
    <w:p>
      <w:pPr>
        <w:spacing w:after="140" w:line="320"/>
      </w:pPr>
      <w:r>
        <w:rPr>
          <w:rFonts w:ascii="Arial" w:cs="Arial" w:eastAsia="Arial" w:hAnsi="Arial"/>
          <w:b/>
          <w:bCs/>
          <w:color w:val="0D9488"/>
          <w:sz w:val="21"/>
          <w:szCs w:val="21"/>
        </w:rPr>
        <w:t xml:space="preserve">12.  </w:t>
      </w:r>
      <w:r>
        <w:rPr>
          <w:rFonts w:ascii="Arial" w:cs="Arial" w:eastAsia="Arial" w:hAnsi="Arial"/>
          <w:color w:val="1E293B"/>
          <w:sz w:val="21"/>
          <w:szCs w:val="21"/>
        </w:rPr>
        <w:t xml:space="preserve">Deployment Roadmap</w:t>
      </w:r>
    </w:p>
    <w:p>
      <w:pPr>
        <w:spacing w:after="140" w:line="320"/>
      </w:pPr>
      <w:r>
        <w:rPr>
          <w:rFonts w:ascii="Arial" w:cs="Arial" w:eastAsia="Arial" w:hAnsi="Arial"/>
          <w:b/>
          <w:bCs/>
          <w:color w:val="0D9488"/>
          <w:sz w:val="21"/>
          <w:szCs w:val="21"/>
        </w:rPr>
        <w:t xml:space="preserve">13.  </w:t>
      </w:r>
      <w:r>
        <w:rPr>
          <w:rFonts w:ascii="Arial" w:cs="Arial" w:eastAsia="Arial" w:hAnsi="Arial"/>
          <w:color w:val="1E293B"/>
          <w:sz w:val="21"/>
          <w:szCs w:val="21"/>
        </w:rPr>
        <w:t xml:space="preserve">Federated Cooperative Architecture (Hard Shell / Soft Center)</w:t>
      </w:r>
    </w:p>
    <w:p>
      <w:pPr>
        <w:spacing w:after="140" w:line="320"/>
      </w:pPr>
      <w:r>
        <w:rPr>
          <w:rFonts w:ascii="Arial" w:cs="Arial" w:eastAsia="Arial" w:hAnsi="Arial"/>
          <w:b/>
          <w:bCs/>
          <w:color w:val="0D9488"/>
          <w:sz w:val="21"/>
          <w:szCs w:val="21"/>
        </w:rPr>
        <w:t xml:space="preserve">14.  </w:t>
      </w:r>
      <w:r>
        <w:rPr>
          <w:rFonts w:ascii="Arial" w:cs="Arial" w:eastAsia="Arial" w:hAnsi="Arial"/>
          <w:color w:val="1E293B"/>
          <w:sz w:val="21"/>
          <w:szCs w:val="21"/>
        </w:rPr>
        <w:t xml:space="preserve">Platform Extraction Defense</w:t>
      </w:r>
    </w:p>
    <w:p>
      <w:pPr>
        <w:spacing w:after="140" w:line="320"/>
      </w:pPr>
      <w:r>
        <w:rPr>
          <w:rFonts w:ascii="Arial" w:cs="Arial" w:eastAsia="Arial" w:hAnsi="Arial"/>
          <w:b/>
          <w:bCs/>
          <w:color w:val="0D9488"/>
          <w:sz w:val="21"/>
          <w:szCs w:val="21"/>
        </w:rPr>
        <w:t xml:space="preserve">15.  </w:t>
      </w:r>
      <w:r>
        <w:rPr>
          <w:rFonts w:ascii="Arial" w:cs="Arial" w:eastAsia="Arial" w:hAnsi="Arial"/>
          <w:color w:val="1E293B"/>
          <w:sz w:val="21"/>
          <w:szCs w:val="21"/>
        </w:rPr>
        <w:t xml:space="preserve">The AI Efficiency Dividend (The Citrini Question)</w:t>
      </w:r>
    </w:p>
    <w:p>
      <w:pPr>
        <w:spacing w:after="140" w:line="320"/>
      </w:pPr>
      <w:r>
        <w:rPr>
          <w:rFonts w:ascii="Arial" w:cs="Arial" w:eastAsia="Arial" w:hAnsi="Arial"/>
          <w:b/>
          <w:bCs/>
          <w:color w:val="0D9488"/>
          <w:sz w:val="21"/>
          <w:szCs w:val="21"/>
        </w:rPr>
        <w:t xml:space="preserve">16.  </w:t>
      </w:r>
      <w:r>
        <w:rPr>
          <w:rFonts w:ascii="Arial" w:cs="Arial" w:eastAsia="Arial" w:hAnsi="Arial"/>
          <w:color w:val="1E293B"/>
          <w:sz w:val="21"/>
          <w:szCs w:val="21"/>
        </w:rPr>
        <w:t xml:space="preserve">Mondragon Alignment and Risk Mitigation</w:t>
      </w:r>
    </w:p>
    <w:p>
      <w:r>
        <w:r>
          <w:br w:type="page"/>
        </w:r>
      </w:r>
    </w:p>
    <w:p>
      <w:pPr>
        <w:pStyle w:val="Heading1"/>
        <w:spacing w:before="400" w:after="200"/>
      </w:pPr>
      <w:r>
        <w:rPr>
          <w:rFonts w:ascii="Arial" w:cs="Arial" w:eastAsia="Arial" w:hAnsi="Arial"/>
          <w:b/>
          <w:bCs/>
          <w:color w:val="1E293B"/>
          <w:sz w:val="34"/>
          <w:szCs w:val="34"/>
        </w:rPr>
        <w:t xml:space="preserve">1. The Problem We Solve</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American home care system is broken in three simultaneous ways: it bankrupts families, impoverishes caregivers, and produces unsafe outcomes. co-op.care exists to fix all three at once.</w:t>
      </w:r>
    </w:p>
    <w:p>
      <w:pPr>
        <w:spacing w:after="80"/>
      </w:pPr>
      <w:r>
        <w:rPr>
          <w:sz w:val="8"/>
          <w:szCs w:val="8"/>
        </w:rPr>
        <w:t xml:space="preserve"/>
      </w:r>
    </w:p>
    <w:p>
      <w:pPr>
        <w:spacing w:before="240" w:after="120"/>
      </w:pPr>
      <w:r>
        <w:rPr>
          <w:rFonts w:ascii="Arial" w:cs="Arial" w:eastAsia="Arial" w:hAnsi="Arial"/>
          <w:b/>
          <w:bCs/>
          <w:color w:val="1E293B"/>
          <w:sz w:val="24"/>
          <w:szCs w:val="24"/>
        </w:rPr>
        <w:t xml:space="preserve">The Family Crisis</w:t>
      </w:r>
    </w:p>
    <w:p>
      <w:pPr>
        <w:spacing w:after="140" w:line="320"/>
      </w:pPr>
      <w:r>
        <w:rPr>
          <w:rFonts w:ascii="Arial" w:cs="Arial" w:eastAsia="Arial" w:hAnsi="Arial"/>
          <w:b/>
          <w:bCs/>
          <w:color w:val="1E293B"/>
          <w:sz w:val="21"/>
          <w:szCs w:val="21"/>
        </w:rPr>
        <w:t xml:space="preserve">63 million Americans</w:t>
      </w:r>
      <w:r>
        <w:rPr>
          <w:rFonts w:ascii="Arial" w:cs="Arial" w:eastAsia="Arial" w:hAnsi="Arial"/>
          <w:color w:val="1E293B"/>
          <w:sz w:val="21"/>
          <w:szCs w:val="21"/>
        </w:rPr>
        <w:t xml:space="preserve"> are providing unpaid care to an aging loved one right now. Facility-based care costs </w:t>
      </w:r>
      <w:r>
        <w:rPr>
          <w:rFonts w:ascii="Arial" w:cs="Arial" w:eastAsia="Arial" w:hAnsi="Arial"/>
          <w:b/>
          <w:bCs/>
          <w:color w:val="1E293B"/>
          <w:sz w:val="21"/>
          <w:szCs w:val="21"/>
        </w:rPr>
        <w:t xml:space="preserve">$9,900/month</w:t>
      </w:r>
      <w:r>
        <w:rPr>
          <w:rFonts w:ascii="Arial" w:cs="Arial" w:eastAsia="Arial" w:hAnsi="Arial"/>
          <w:color w:val="1E293B"/>
          <w:sz w:val="21"/>
          <w:szCs w:val="21"/>
        </w:rPr>
        <w:t xml:space="preserve"> on average. Traditional home care agencies charge $30–45/hour but pay caregivers only $13–17/hour — capturing 40–60% of what families pay as administrative overhead extracted to shareholders. Families are forced to choose between financial ruin and inadequate care.</w:t>
      </w:r>
    </w:p>
    <w:p>
      <w:pPr>
        <w:spacing w:after="80"/>
      </w:pPr>
      <w:r>
        <w:rPr>
          <w:sz w:val="8"/>
          <w:szCs w:val="8"/>
        </w:rPr>
        <w:t xml:space="preserve"/>
      </w:r>
    </w:p>
    <w:p>
      <w:pPr>
        <w:spacing w:before="240" w:after="120"/>
      </w:pPr>
      <w:r>
        <w:rPr>
          <w:rFonts w:ascii="Arial" w:cs="Arial" w:eastAsia="Arial" w:hAnsi="Arial"/>
          <w:b/>
          <w:bCs/>
          <w:color w:val="1E293B"/>
          <w:sz w:val="24"/>
          <w:szCs w:val="24"/>
        </w:rPr>
        <w:t xml:space="preserve">The Caregiver Crisis</w:t>
      </w:r>
    </w:p>
    <w:p>
      <w:pPr>
        <w:spacing w:after="140" w:line="320"/>
      </w:pPr>
      <w:r>
        <w:rPr>
          <w:rFonts w:ascii="Arial" w:cs="Arial" w:eastAsia="Arial" w:hAnsi="Arial"/>
          <w:b/>
          <w:bCs/>
          <w:color w:val="1E293B"/>
          <w:sz w:val="21"/>
          <w:szCs w:val="21"/>
        </w:rPr>
        <w:t xml:space="preserve">The national median home care worker wage is $16.77/hour.</w:t>
      </w:r>
      <w:r>
        <w:rPr>
          <w:rFonts w:ascii="Arial" w:cs="Arial" w:eastAsia="Arial" w:hAnsi="Arial"/>
          <w:color w:val="1E293B"/>
          <w:sz w:val="21"/>
          <w:szCs w:val="21"/>
        </w:rPr>
        <w:t xml:space="preserve"> Annual turnover exceeds 77%. Caregivers are treated as disposable gig workers — no benefits, no equity, no voice. The people who know your parent best leave every few months because they cannot afford to stay.</w:t>
      </w:r>
    </w:p>
    <w:p>
      <w:pPr>
        <w:spacing w:after="80"/>
      </w:pPr>
      <w:r>
        <w:rPr>
          <w:sz w:val="8"/>
          <w:szCs w:val="8"/>
        </w:rPr>
        <w:t xml:space="preserve"/>
      </w:r>
    </w:p>
    <w:p>
      <w:pPr>
        <w:spacing w:before="240" w:after="120"/>
      </w:pPr>
      <w:r>
        <w:rPr>
          <w:rFonts w:ascii="Arial" w:cs="Arial" w:eastAsia="Arial" w:hAnsi="Arial"/>
          <w:b/>
          <w:bCs/>
          <w:color w:val="1E293B"/>
          <w:sz w:val="24"/>
          <w:szCs w:val="24"/>
        </w:rPr>
        <w:t xml:space="preserve">The Safety Crisis</w:t>
      </w:r>
    </w:p>
    <w:p>
      <w:pPr>
        <w:spacing w:after="140" w:line="320"/>
      </w:pPr>
      <w:r>
        <w:rPr>
          <w:rFonts w:ascii="Arial" w:cs="Arial" w:eastAsia="Arial" w:hAnsi="Arial"/>
          <w:b/>
          <w:bCs/>
          <w:color w:val="1E293B"/>
          <w:sz w:val="21"/>
          <w:szCs w:val="21"/>
        </w:rPr>
        <w:t xml:space="preserve">A February 2026 Mount Sinai study (PMID 41731097)</w:t>
      </w:r>
      <w:r>
        <w:rPr>
          <w:rFonts w:ascii="Arial" w:cs="Arial" w:eastAsia="Arial" w:hAnsi="Arial"/>
          <w:color w:val="1E293B"/>
          <w:sz w:val="21"/>
          <w:szCs w:val="21"/>
        </w:rPr>
        <w:t xml:space="preserve"> evaluated ChatGPT Health — used by 40 million people daily — and found a </w:t>
      </w:r>
      <w:r>
        <w:rPr>
          <w:rFonts w:ascii="Arial" w:cs="Arial" w:eastAsia="Arial" w:hAnsi="Arial"/>
          <w:b/>
          <w:bCs/>
          <w:color w:val="DC2626"/>
          <w:sz w:val="21"/>
          <w:szCs w:val="21"/>
        </w:rPr>
        <w:t xml:space="preserve">52% under-triage rate for gold-standard emergencies</w:t>
      </w:r>
      <w:r>
        <w:rPr>
          <w:rFonts w:ascii="Arial" w:cs="Arial" w:eastAsia="Arial" w:hAnsi="Arial"/>
          <w:color w:val="1E293B"/>
          <w:sz w:val="21"/>
          <w:szCs w:val="21"/>
        </w:rPr>
        <w:t xml:space="preserve">. Anchoring bias odds ratio of 11.7. Unpredictable suicide-crisis safeguards. AI alone is not safe for clinical care.</w:t>
      </w:r>
    </w:p>
    <w:p>
      <w:pPr>
        <w:spacing w:after="80"/>
      </w:pPr>
      <w:r>
        <w:rPr>
          <w:sz w:val="8"/>
          <w:szCs w:val="8"/>
        </w:rPr>
        <w:t xml:space="preserve"/>
      </w:r>
    </w:p>
    <w:p>
      <w:pPr>
        <w:spacing w:before="240" w:after="120"/>
      </w:pPr>
      <w:r>
        <w:rPr>
          <w:rFonts w:ascii="Arial" w:cs="Arial" w:eastAsia="Arial" w:hAnsi="Arial"/>
          <w:b/>
          <w:bCs/>
          <w:color w:val="1E293B"/>
          <w:sz w:val="24"/>
          <w:szCs w:val="24"/>
        </w:rPr>
        <w:t xml:space="preserve">Our Answer</w:t>
      </w:r>
    </w:p>
    <w:p>
      <w:pPr>
        <w:spacing w:after="140" w:line="320"/>
      </w:pPr>
      <w:r>
        <w:rPr>
          <w:rFonts w:ascii="Arial" w:cs="Arial" w:eastAsia="Arial" w:hAnsi="Arial"/>
          <w:b w:val="false"/>
          <w:bCs w:val="false"/>
          <w:i w:val="false"/>
          <w:iCs w:val="false"/>
          <w:color w:val="1E293B"/>
          <w:sz w:val="21"/>
          <w:szCs w:val="21"/>
        </w:rPr>
        <w:t xml:space="preserve">co-op.care is a worker-owned cooperative that combines clinical AI with cooperative labor and physician oversight to deliver safe, affordable home care. Caregivers earn $25–28/hour with W-2 employment, benefits, and equity ownership. Families pay 60–80% less than facility care. And every care plan is supervised by a licensed physician.</w:t>
      </w:r>
    </w:p>
    <w:p>
      <w:pPr>
        <w:spacing w:after="140" w:line="320"/>
      </w:pPr>
      <w:r>
        <w:rPr>
          <w:rFonts w:ascii="Arial" w:cs="Arial" w:eastAsia="Arial" w:hAnsi="Arial"/>
          <w:b w:val="false"/>
          <w:bCs w:val="false"/>
          <w:i w:val="false"/>
          <w:iCs w:val="false"/>
          <w:color w:val="1E293B"/>
          <w:sz w:val="21"/>
          <w:szCs w:val="21"/>
        </w:rPr>
        <w:t xml:space="preserve">The technology platform — CareOS — handles coordination overhead so that 100% of the care investment flows to the people doing the work. No extraction to Wall Street. No agency markups. Just neighbors helping neighbors, with clinical governance that keeps everyone safe.</w:t>
      </w:r>
    </w:p>
    <w:p>
      <w:r>
        <w:r>
          <w:br w:type="page"/>
        </w:r>
      </w:r>
    </w:p>
    <w:p>
      <w:pPr>
        <w:pStyle w:val="Heading1"/>
        <w:spacing w:before="400" w:after="200"/>
      </w:pPr>
      <w:r>
        <w:rPr>
          <w:rFonts w:ascii="Arial" w:cs="Arial" w:eastAsia="Arial" w:hAnsi="Arial"/>
          <w:b/>
          <w:bCs/>
          <w:color w:val="1E293B"/>
          <w:sz w:val="34"/>
          <w:szCs w:val="34"/>
        </w:rPr>
        <w:t xml:space="preserve">2. Architecture Overview: The 4-Layer Safety Model</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Mount Sinai finding is our founding design constraint. AI is powerful but unreliable for autonomous clinical decisions. Humans are essential but cannot scale without technology support. Physicians provide the legal and clinical authority but cannot be present at every bedside. The cooperative model provides the economic alignment but needs clinical infrastructure.</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co-op.care solves this with a 4-layer architecture where each layer compensates for the limitations of the others:</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3600"/>
        <w:gridCol w:w="2940"/>
      </w:tblGrid>
      <w:tr>
        <w:tc>
          <w:tcPr>
            <w:tcW w:type="dxa" w:w="1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LAYER</w:t>
            </w:r>
          </w:p>
        </w:tc>
        <w:tc>
          <w:tcPr>
            <w:tcW w:type="dxa" w:w="21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FUNCTION</w:t>
            </w:r>
          </w:p>
        </w:tc>
        <w:tc>
          <w:tcPr>
            <w:tcW w:type="dxa" w:w="29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FAILURE MODE IT PREVENTS</w:t>
            </w:r>
          </w:p>
        </w:tc>
      </w:tr>
      <w:tr>
        <w:tc>
          <w:tcPr>
            <w:tcW w:type="dxa" w:w="1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  Layer 1</w:t>
            </w:r>
          </w:p>
        </w:tc>
        <w:tc>
          <w:tcPr>
            <w:tcW w:type="dxa" w:w="21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CareOS Clinical AI</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NLP parsing, Omaha System coding, FHIR conversion, pattern detection, EVV</w:t>
            </w:r>
          </w:p>
        </w:tc>
        <w:tc>
          <w:tcPr>
            <w:tcW w:type="dxa" w:w="2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Documentation fatigue, coding errors, missed patterns in longitudinal data</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D97706"/>
                <w:sz w:val="20"/>
                <w:szCs w:val="20"/>
              </w:rPr>
              <w:t xml:space="preserve">◇  Layer 2</w:t>
            </w:r>
          </w:p>
        </w:tc>
        <w:tc>
          <w:tcPr>
            <w:tcW w:type="dxa" w:w="21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Omaha System + Human Review</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Standardized clinical taxonomy (42 problems, 75 targets, KBS ratings). Human clinician reviews every AI output before it enters the medical record.</w:t>
            </w:r>
          </w:p>
        </w:tc>
        <w:tc>
          <w:tcPr>
            <w:tcW w:type="dxa" w:w="29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AI hallucination, 10% error rate in NLP mapping, billing fraud risk</w:t>
            </w:r>
          </w:p>
        </w:tc>
      </w:tr>
      <w:tr>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  Layer 3</w:t>
            </w:r>
          </w:p>
        </w:tc>
        <w:tc>
          <w:tcPr>
            <w:tcW w:type="dxa" w:w="21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Cooperative Labor</w:t>
            </w:r>
          </w:p>
        </w:tc>
        <w:tc>
          <w:tcPr>
            <w:tcW w:type="dxa" w:w="3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W-2 worker-owner caregivers with continuity, equity, and human observation. They notice what sensors miss.</w:t>
            </w:r>
          </w:p>
        </w:tc>
        <w:tc>
          <w:tcPr>
            <w:tcW w:type="dxa" w:w="29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Caregiver turnover (77% industry), loss of institutional knowledge, depersonalized care</w:t>
            </w:r>
          </w:p>
        </w:tc>
      </w:tr>
      <w:tr>
        <w:tc>
          <w:tcPr>
            <w:tcW w:type="dxa" w:w="12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  Layer 4</w:t>
            </w:r>
          </w:p>
        </w:tc>
        <w:tc>
          <w:tcPr>
            <w:tcW w:type="dxa" w:w="21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Physician Oversight</w:t>
            </w:r>
          </w:p>
        </w:tc>
        <w:tc>
          <w:tcPr>
            <w:tcW w:type="dxa" w:w="36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MD/DO Clinical Director reviews every care plan. Signs Letters of Medical Necessity. Attests all billing codes. Provides clinical governance.</w:t>
            </w:r>
          </w:p>
        </w:tc>
        <w:tc>
          <w:tcPr>
            <w:tcW w:type="dxa" w:w="294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Scope-of-practice violations, unsafe care plans, billing non-compliance, liability exposure</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Design principle: </w:t>
      </w:r>
      <w:r>
        <w:rPr>
          <w:rFonts w:ascii="Arial" w:cs="Arial" w:eastAsia="Arial" w:hAnsi="Arial"/>
          <w:color w:val="1E293B"/>
          <w:sz w:val="21"/>
          <w:szCs w:val="21"/>
        </w:rPr>
        <w:t xml:space="preserve">AI processes data. Humans make decisions. Physicians oversee care. Worker-owners catch what everyone else misses. No layer operates alone.</w:t>
      </w:r>
    </w:p>
    <w:p>
      <w:r>
        <w:r>
          <w:br w:type="page"/>
        </w:r>
      </w:r>
    </w:p>
    <w:p>
      <w:pPr>
        <w:pStyle w:val="Heading1"/>
        <w:spacing w:before="400" w:after="200"/>
      </w:pPr>
      <w:r>
        <w:rPr>
          <w:rFonts w:ascii="Arial" w:cs="Arial" w:eastAsia="Arial" w:hAnsi="Arial"/>
          <w:b/>
          <w:bCs/>
          <w:color w:val="1E293B"/>
          <w:sz w:val="34"/>
          <w:szCs w:val="34"/>
        </w:rPr>
        <w:t xml:space="preserve">3. Layer 1: CareCheck Assessment Suite</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CareCheck suite is the front door to co-op.care. It consists of two complementary assessments that together provide a complete picture of the caregiving situation: the family caregiver’s burnout level and the aging adult’s care needs.</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3.1 Caregiver Intensity Index (CII)</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Purpose: </w:t>
      </w:r>
      <w:r>
        <w:rPr>
          <w:rFonts w:ascii="Arial" w:cs="Arial" w:eastAsia="Arial" w:hAnsi="Arial"/>
          <w:color w:val="1E293B"/>
          <w:sz w:val="21"/>
          <w:szCs w:val="21"/>
        </w:rPr>
        <w:t xml:space="preserve">A predictive health monitoring assessment that detects family caregiver burnout and stress levels before crisis. The CII is the primary user acquisition tool and the first revenue product ($150–300/assessment with physician oversight, HSA-eligible).</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12 Measurement Dimensions</w:t>
      </w:r>
    </w:p>
    <w:p>
      <w:pPr>
        <w:spacing w:after="140" w:line="320"/>
      </w:pPr>
      <w:r>
        <w:rPr>
          <w:rFonts w:ascii="Arial" w:cs="Arial" w:eastAsia="Arial" w:hAnsi="Arial"/>
          <w:b w:val="false"/>
          <w:bCs w:val="false"/>
          <w:i w:val="false"/>
          <w:iCs w:val="false"/>
          <w:color w:val="1E293B"/>
          <w:sz w:val="21"/>
          <w:szCs w:val="21"/>
        </w:rPr>
        <w:t xml:space="preserve">Each scored 1–10 via slider interface:</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CAREGIVER LOAD</w:t>
            </w:r>
          </w:p>
        </w:tc>
        <w:tc>
          <w:tcPr>
            <w:tcW w:type="dxa" w:w="3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EMOTIONAL IMPACT</w:t>
            </w:r>
          </w:p>
        </w:tc>
        <w:tc>
          <w:tcPr>
            <w:tcW w:type="dxa" w:w="34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SUPPORT SYSTEMS (inverse)</w:t>
            </w:r>
          </w:p>
        </w:tc>
      </w:tr>
      <w:tr>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Sleep disruption</w:t>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Guilt</w:t>
            </w:r>
          </w:p>
        </w:tc>
        <w:tc>
          <w:tcPr>
            <w:tcW w:type="dxa" w:w="34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Social isolation</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Work/career impact</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Emotional exhaustion</w:t>
            </w:r>
          </w:p>
        </w:tc>
        <w:tc>
          <w:tcPr>
            <w:tcW w:type="dxa" w:w="34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 fragility (no backup)</w:t>
            </w:r>
          </w:p>
        </w:tc>
      </w:tr>
      <w:tr>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Health neglect</w:t>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Anticipatory grief</w:t>
            </w:r>
          </w:p>
        </w:tc>
        <w:tc>
          <w:tcPr>
            <w:tcW w:type="dxa" w:w="34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Nighttime worry</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Financial strain</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Temper/patience loss</w:t>
            </w:r>
          </w:p>
        </w:tc>
        <w:tc>
          <w:tcPr>
            <w:tcW w:type="dxa" w:w="34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Feeling of failure</w:t>
            </w:r>
          </w:p>
        </w:tc>
      </w:tr>
    </w:tbl>
    <w:p>
      <w:pPr>
        <w:spacing w:after="80"/>
      </w:pPr>
      <w:r>
        <w:rPr>
          <w:sz w:val="8"/>
          <w:szCs w:val="8"/>
        </w:rPr>
        <w:t xml:space="preserve"/>
      </w:r>
    </w:p>
    <w:p>
      <w:pPr>
        <w:spacing w:before="180" w:after="100"/>
      </w:pPr>
      <w:r>
        <w:rPr>
          <w:rFonts w:ascii="Arial" w:cs="Arial" w:eastAsia="Arial" w:hAnsi="Arial"/>
          <w:b/>
          <w:bCs/>
          <w:color w:val="0F766E"/>
          <w:sz w:val="22"/>
          <w:szCs w:val="22"/>
        </w:rPr>
        <w:t xml:space="preserve">Scoring Zones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840"/>
      </w:tblGrid>
      <w:tr>
        <w:tc>
          <w:tcPr>
            <w:tcW w:type="dxa" w:w="1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ZONE</w:t>
            </w:r>
          </w:p>
        </w:tc>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SCORE RANGE</w:t>
            </w:r>
          </w:p>
        </w:tc>
        <w:tc>
          <w:tcPr>
            <w:tcW w:type="dxa" w:w="58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CLINICAL RESPONSE</w:t>
            </w:r>
          </w:p>
        </w:tc>
      </w:tr>
      <w:tr>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Green</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12–45 / 120</w:t>
            </w:r>
          </w:p>
        </w:tc>
        <w:tc>
          <w:tcPr>
            <w:tcW w:type="dxa" w:w="5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Manageable load. Preventive resources, Time Bank enrollment, safety net building.</w:t>
            </w:r>
          </w:p>
        </w:tc>
      </w:tr>
      <w:tr>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D97706"/>
                <w:sz w:val="20"/>
                <w:szCs w:val="20"/>
              </w:rPr>
              <w:t xml:space="preserve">Yellow</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46–85 / 120</w:t>
            </w:r>
          </w:p>
        </w:tc>
        <w:tc>
          <w:tcPr>
            <w:tcW w:type="dxa" w:w="5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Significant strain. Active care coordination, caregiver matching, respite scheduling.</w:t>
            </w:r>
          </w:p>
        </w:tc>
      </w:tr>
      <w:tr>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DC2626"/>
                <w:sz w:val="20"/>
                <w:szCs w:val="20"/>
              </w:rPr>
              <w:t xml:space="preserve">Red</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86–120 / 120</w:t>
            </w:r>
          </w:p>
        </w:tc>
        <w:tc>
          <w:tcPr>
            <w:tcW w:type="dxa" w:w="5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Critical burnout. Immediate intervention cascade: emergency respite deployment, Clinical Director notification, comprehensive care plan generation.</w:t>
            </w:r>
          </w:p>
        </w:tc>
      </w:tr>
    </w:tbl>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3.2 Care Readiness Index (CRI)</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Purpose: </w:t>
      </w:r>
      <w:r>
        <w:rPr>
          <w:rFonts w:ascii="Arial" w:cs="Arial" w:eastAsia="Arial" w:hAnsi="Arial"/>
          <w:color w:val="1E293B"/>
          <w:sz w:val="21"/>
          <w:szCs w:val="21"/>
        </w:rPr>
        <w:t xml:space="preserve">A 14-factor clinically-weighted acuity assessment evaluating the aging adult’s care needs across four domains. The CRI determines service tier, caregiver matching requirements, and care plan complexity.</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14 Clinical Factors with Acuity Weights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300"/>
        <w:gridCol w:w="2940"/>
      </w:tblGrid>
      <w:t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DOMAIN</w:t>
            </w:r>
          </w:p>
        </w:tc>
        <w:tc>
          <w:tcPr>
            <w:tcW w:type="dxa" w:w="3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FACTOR</w:t>
            </w:r>
          </w:p>
        </w:tc>
        <w:tc>
          <w:tcPr>
            <w:tcW w:type="dxa" w:w="13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WEIGHT</w:t>
            </w:r>
          </w:p>
        </w:tc>
        <w:tc>
          <w:tcPr>
            <w:tcW w:type="dxa" w:w="29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SCALE</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Physical Function</w:t>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Mobility</w:t>
            </w:r>
          </w:p>
        </w:tc>
        <w:tc>
          <w:tcPr>
            <w:tcW w:type="dxa" w:w="13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(independent) – 5 (full assist)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Bathing &amp; Hygiene</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(independent) – 5 (full assist)</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Toileting &amp; Continence</w:t>
            </w:r>
          </w:p>
        </w:tc>
        <w:tc>
          <w:tcPr>
            <w:tcW w:type="dxa" w:w="13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(independent) – 5 (full assist)</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Eating &amp; Nutrition</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(independent) – 5 (full assist)</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Cognitive &amp;</w:t>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Cognition &amp; Memory</w:t>
            </w:r>
          </w:p>
        </w:tc>
        <w:tc>
          <w:tcPr>
            <w:tcW w:type="dxa" w:w="13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DC2626"/>
                <w:sz w:val="20"/>
                <w:szCs w:val="20"/>
              </w:rPr>
              <w:t xml:space="preserve">1.3x</w:t>
            </w:r>
          </w:p>
        </w:tc>
        <w:tc>
          <w:tcPr>
            <w:tcW w:type="dxa" w:w="2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(intact) – 5 (severe dementia)</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Behavioral</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Behavioral Concerns</w:t>
            </w:r>
          </w:p>
        </w:tc>
        <w:tc>
          <w:tcPr>
            <w:tcW w:type="dxa" w:w="13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(none) – 5 (danger to self/others)</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Communication</w:t>
            </w:r>
          </w:p>
        </w:tc>
        <w:tc>
          <w:tcPr>
            <w:tcW w:type="dxa" w:w="13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(clear) – 5 (unable)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Safety &amp;</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Fall Risk</w:t>
            </w:r>
          </w:p>
        </w:tc>
        <w:tc>
          <w:tcPr>
            <w:tcW w:type="dxa" w:w="13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D97706"/>
                <w:sz w:val="20"/>
                <w:szCs w:val="20"/>
              </w:rPr>
              <w:t xml:space="preserve">1.1x</w:t>
            </w:r>
          </w:p>
        </w:tc>
        <w:tc>
          <w:tcPr>
            <w:tcW w:type="dxa" w:w="29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(stable) – 5 (frequent injuries)</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Medical</w:t>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Medication Complexity</w:t>
            </w:r>
          </w:p>
        </w:tc>
        <w:tc>
          <w:tcPr>
            <w:tcW w:type="dxa" w:w="13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(minimal) – 5 (complex)</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Medical Devices</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(minimal) – 5 (complex)</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Chronic Conditions</w:t>
            </w:r>
          </w:p>
        </w:tc>
        <w:tc>
          <w:tcPr>
            <w:tcW w:type="dxa" w:w="13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(minimal) – 5 (complex)</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Social &amp;</w:t>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Home Safety</w:t>
            </w:r>
          </w:p>
        </w:tc>
        <w:tc>
          <w:tcPr>
            <w:tcW w:type="dxa" w:w="13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(strong/safe) – 5 (critical need)</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Environmental</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Support Network</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(strong/safe) – 5 (critical need)</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Emotional Wellbeing</w:t>
            </w:r>
          </w:p>
        </w:tc>
        <w:tc>
          <w:tcPr>
            <w:tcW w:type="dxa" w:w="13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1.0x</w:t>
            </w:r>
          </w:p>
        </w:tc>
        <w:tc>
          <w:tcPr>
            <w:tcW w:type="dxa" w:w="2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 (strong/safe) – 5 (critical need)</w:t>
            </w:r>
          </w:p>
        </w:tc>
      </w:tr>
    </w:tbl>
    <w:p>
      <w:pPr>
        <w:spacing w:after="80"/>
      </w:pPr>
      <w:r>
        <w:rPr>
          <w:sz w:val="8"/>
          <w:szCs w:val="8"/>
        </w:rPr>
        <w:t xml:space="preserve"/>
      </w:r>
    </w:p>
    <w:p>
      <w:pPr>
        <w:spacing w:before="180" w:after="100"/>
      </w:pPr>
      <w:r>
        <w:rPr>
          <w:rFonts w:ascii="Arial" w:cs="Arial" w:eastAsia="Arial" w:hAnsi="Arial"/>
          <w:b/>
          <w:bCs/>
          <w:color w:val="0F766E"/>
          <w:sz w:val="22"/>
          <w:szCs w:val="22"/>
        </w:rPr>
        <w:t xml:space="preserve">Service Tier Mapping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3040"/>
      </w:tblGrid>
      <w:tr>
        <w:tc>
          <w:tcPr>
            <w:tcW w:type="dxa" w:w="20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TIER</w:t>
            </w:r>
          </w:p>
        </w:tc>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ACUITY %</w:t>
            </w:r>
          </w:p>
        </w:tc>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COST RANGE</w:t>
            </w:r>
          </w:p>
        </w:tc>
        <w:tc>
          <w:tcPr>
            <w:tcW w:type="dxa" w:w="30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TYPICAL SERVICES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Companion</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0–25%</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$400–$1,200/mo</w:t>
            </w:r>
          </w:p>
        </w:tc>
        <w:tc>
          <w:tcPr>
            <w:tcW w:type="dxa" w:w="3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Companionship, light housekeeping, errands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Standard</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26–50%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$1,200–$2,400/mo</w:t>
            </w:r>
          </w:p>
        </w:tc>
        <w:tc>
          <w:tcPr>
            <w:tcW w:type="dxa" w:w="3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Personal care, medication reminders, mobility</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D97706"/>
                <w:sz w:val="20"/>
                <w:szCs w:val="20"/>
              </w:rPr>
              <w:t xml:space="preserve">Comprehensive</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51–75%</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$2,400–$4,200/mo</w:t>
            </w:r>
          </w:p>
        </w:tc>
        <w:tc>
          <w:tcPr>
            <w:tcW w:type="dxa" w:w="3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Dementia care, complex medical, night support</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DC2626"/>
                <w:sz w:val="20"/>
                <w:szCs w:val="20"/>
              </w:rPr>
              <w:t xml:space="preserve">Intensive</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76–100%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$4,200–$7,500/mo</w:t>
            </w:r>
          </w:p>
        </w:tc>
        <w:tc>
          <w:tcPr>
            <w:tcW w:type="dxa" w:w="3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24/7 care, high-acuity medical, hospice support</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Comparison: </w:t>
      </w:r>
      <w:r>
        <w:rPr>
          <w:rFonts w:ascii="Arial" w:cs="Arial" w:eastAsia="Arial" w:hAnsi="Arial"/>
          <w:color w:val="1E293B"/>
          <w:sz w:val="21"/>
          <w:szCs w:val="21"/>
        </w:rPr>
        <w:t xml:space="preserve">Facility care averages $9,900/month. Even our highest tier (Intensive) is 25% less. Our most common tier (Standard) is 75–88% less.</w:t>
      </w:r>
    </w:p>
    <w:p>
      <w:r>
        <w:r>
          <w:br w:type="page"/>
        </w:r>
      </w:r>
    </w:p>
    <w:p>
      <w:pPr>
        <w:pStyle w:val="Heading1"/>
        <w:spacing w:before="400" w:after="200"/>
      </w:pPr>
      <w:r>
        <w:rPr>
          <w:rFonts w:ascii="Arial" w:cs="Arial" w:eastAsia="Arial" w:hAnsi="Arial"/>
          <w:b/>
          <w:bCs/>
          <w:color w:val="1E293B"/>
          <w:sz w:val="34"/>
          <w:szCs w:val="34"/>
        </w:rPr>
        <w:t xml:space="preserve">4. Layer 2: CareOS Clinical Intelligence Engine</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Traditional home care software forces caregivers to navigate complex drop-down menus on phones, leading to documentation fatigue and the loss of critical patient data. CareOS replaces this entirely with a natural language pipeline that converts spoken or typed caregiver notes into structured clinical data.</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4.1 The 5-Stage NLP Pipeline</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Stage 1: Data Capture</w:t>
      </w:r>
    </w:p>
    <w:p>
      <w:pPr>
        <w:spacing w:after="140" w:line="320"/>
      </w:pPr>
      <w:r>
        <w:rPr>
          <w:rFonts w:ascii="Arial" w:cs="Arial" w:eastAsia="Arial" w:hAnsi="Arial"/>
          <w:b/>
          <w:bCs/>
          <w:color w:val="1E293B"/>
          <w:sz w:val="21"/>
          <w:szCs w:val="21"/>
        </w:rPr>
        <w:t xml:space="preserve">Input: </w:t>
      </w:r>
      <w:r>
        <w:rPr>
          <w:rFonts w:ascii="Arial" w:cs="Arial" w:eastAsia="Arial" w:hAnsi="Arial"/>
          <w:color w:val="1E293B"/>
          <w:sz w:val="21"/>
          <w:szCs w:val="21"/>
        </w:rPr>
        <w:t xml:space="preserve">Caregiver dictates or types a narrative note via the CareOS mobile application.</w:t>
      </w:r>
    </w:p>
    <w:p>
      <w:pPr>
        <w:shd w:fill="FFFBEB" w:val="clear"/>
        <w:spacing w:before="120" w:after="120"/>
        <w:ind w:left="200" w:right="200"/>
      </w:pPr>
      <w:r>
        <w:rPr>
          <w:rFonts w:ascii="Arial" w:cs="Arial" w:eastAsia="Arial" w:hAnsi="Arial"/>
          <w:i/>
          <w:iCs/>
          <w:color w:val="1E293B"/>
          <w:sz w:val="21"/>
          <w:szCs w:val="21"/>
        </w:rPr>
        <w:t xml:space="preserve">Example: "Helped Mom with shower. She was dizzy getting out. BP was 142/88. She asked about Dad three times."</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Stage 2: NLP Entity Extraction</w:t>
      </w:r>
    </w:p>
    <w:p>
      <w:pPr>
        <w:spacing w:after="140" w:line="320"/>
      </w:pPr>
      <w:r>
        <w:rPr>
          <w:rFonts w:ascii="Arial" w:cs="Arial" w:eastAsia="Arial" w:hAnsi="Arial"/>
          <w:b/>
          <w:bCs/>
          <w:color w:val="1E293B"/>
          <w:sz w:val="21"/>
          <w:szCs w:val="21"/>
        </w:rPr>
        <w:t xml:space="preserve">Processing: </w:t>
      </w:r>
      <w:r>
        <w:rPr>
          <w:rFonts w:ascii="Arial" w:cs="Arial" w:eastAsia="Arial" w:hAnsi="Arial"/>
          <w:color w:val="1E293B"/>
          <w:sz w:val="21"/>
          <w:szCs w:val="21"/>
        </w:rPr>
        <w:t xml:space="preserve">AI extracts clinical entities from the narrative — activities, vital signs, symptoms, behavioral observations, medications — into structured JSON. Uses GPT-4o-mini with RAG-enhanced few-shot learning and chain-of-thought prompting.</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Stage 3: Omaha System Mapping</w:t>
      </w:r>
    </w:p>
    <w:p>
      <w:pPr>
        <w:spacing w:after="140" w:line="320"/>
      </w:pPr>
      <w:r>
        <w:rPr>
          <w:rFonts w:ascii="Arial" w:cs="Arial" w:eastAsia="Arial" w:hAnsi="Arial"/>
          <w:b/>
          <w:bCs/>
          <w:color w:val="1E293B"/>
          <w:sz w:val="21"/>
          <w:szCs w:val="21"/>
        </w:rPr>
        <w:t xml:space="preserve">Standardization: </w:t>
      </w:r>
      <w:r>
        <w:rPr>
          <w:rFonts w:ascii="Arial" w:cs="Arial" w:eastAsia="Arial" w:hAnsi="Arial"/>
          <w:color w:val="1E293B"/>
          <w:sz w:val="21"/>
          <w:szCs w:val="21"/>
        </w:rPr>
        <w:t xml:space="preserve">Extracted entities are mapped to the Omaha System, a public-domain clinical taxonomy recognized by the Department of Health and Human Services. The Omaha System provides:</w:t>
      </w:r>
    </w:p>
    <w:p>
      <w:pPr>
        <w:pStyle w:val="ListParagraph"/>
        <w:numPr>
          <w:ilvl w:val="0"/>
          <w:numId w:val="2"/>
        </w:numPr>
        <w:spacing w:after="90" w:line="300"/>
      </w:pPr>
      <w:r>
        <w:rPr>
          <w:rFonts w:ascii="Arial" w:cs="Arial" w:eastAsia="Arial" w:hAnsi="Arial"/>
          <w:color w:val="1E293B"/>
          <w:sz w:val="21"/>
          <w:szCs w:val="21"/>
        </w:rPr>
        <w:t xml:space="preserve">42 Problem Classifications across 4 domains (Environmental, Psychosocial, Physiological, Health-Related Behaviors)</w:t>
      </w:r>
    </w:p>
    <w:p>
      <w:pPr>
        <w:pStyle w:val="ListParagraph"/>
        <w:numPr>
          <w:ilvl w:val="0"/>
          <w:numId w:val="2"/>
        </w:numPr>
        <w:spacing w:after="90" w:line="300"/>
      </w:pPr>
      <w:r>
        <w:rPr>
          <w:rFonts w:ascii="Arial" w:cs="Arial" w:eastAsia="Arial" w:hAnsi="Arial"/>
          <w:color w:val="1E293B"/>
          <w:sz w:val="21"/>
          <w:szCs w:val="21"/>
        </w:rPr>
        <w:t xml:space="preserve">75 Intervention Targets linked to each problem</w:t>
      </w:r>
    </w:p>
    <w:p>
      <w:pPr>
        <w:pStyle w:val="ListParagraph"/>
        <w:numPr>
          <w:ilvl w:val="0"/>
          <w:numId w:val="2"/>
        </w:numPr>
        <w:spacing w:after="90" w:line="300"/>
      </w:pPr>
      <w:r>
        <w:rPr>
          <w:rFonts w:ascii="Arial" w:cs="Arial" w:eastAsia="Arial" w:hAnsi="Arial"/>
          <w:color w:val="1E293B"/>
          <w:sz w:val="21"/>
          <w:szCs w:val="21"/>
        </w:rPr>
        <w:t xml:space="preserve">Knowledge, Behavior, and Status (KBS) Ratings on a 1–5 scale for quantitative outcome tracking</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AI Accuracy: </w:t>
      </w:r>
      <w:r>
        <w:rPr>
          <w:rFonts w:ascii="Arial" w:cs="Arial" w:eastAsia="Arial" w:hAnsi="Arial"/>
          <w:color w:val="1E293B"/>
          <w:sz w:val="21"/>
          <w:szCs w:val="21"/>
        </w:rPr>
        <w:t xml:space="preserve">Current optimized models achieve F1 scores of 0.90 for both problem and symptom identification against expert manual annotations:</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200"/>
        <w:gridCol w:w="2820"/>
        <w:gridCol w:w="2820"/>
      </w:tblGrid>
      <w:tr>
        <w:tc>
          <w:tcPr>
            <w:tcW w:type="dxa" w:w="4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MODEL</w:t>
            </w:r>
          </w:p>
        </w:tc>
        <w:tc>
          <w:tcPr>
            <w:tcW w:type="dxa" w:w="28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PROBLEM F1</w:t>
            </w:r>
          </w:p>
        </w:tc>
        <w:tc>
          <w:tcPr>
            <w:tcW w:type="dxa" w:w="28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SYMPTOM F1</w:t>
            </w:r>
          </w:p>
        </w:tc>
      </w:tr>
      <w:tr>
        <w:tc>
          <w:tcPr>
            <w:tcW w:type="dxa" w:w="4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GPT-4o-mini (RAG-enhanced)</w:t>
            </w:r>
          </w:p>
        </w:tc>
        <w:tc>
          <w:tcPr>
            <w:tcW w:type="dxa" w:w="28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0.90</w:t>
            </w:r>
          </w:p>
        </w:tc>
        <w:tc>
          <w:tcPr>
            <w:tcW w:type="dxa" w:w="28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0.90</w:t>
            </w:r>
          </w:p>
        </w:tc>
      </w:tr>
      <w:tr>
        <w:tc>
          <w:tcPr>
            <w:tcW w:type="dxa" w:w="4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GPT-o3-mini (RAG-enhanced)</w:t>
            </w:r>
          </w:p>
        </w:tc>
        <w:tc>
          <w:tcPr>
            <w:tcW w:type="dxa" w:w="28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0.83</w:t>
            </w:r>
          </w:p>
        </w:tc>
        <w:tc>
          <w:tcPr>
            <w:tcW w:type="dxa" w:w="28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0.82</w:t>
            </w:r>
          </w:p>
        </w:tc>
      </w:tr>
      <w:tr>
        <w:tc>
          <w:tcPr>
            <w:tcW w:type="dxa" w:w="4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Llama 3.1-8B-Instruct (RAG)</w:t>
            </w:r>
          </w:p>
        </w:tc>
        <w:tc>
          <w:tcPr>
            <w:tcW w:type="dxa" w:w="28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0.73</w:t>
            </w:r>
          </w:p>
        </w:tc>
        <w:tc>
          <w:tcPr>
            <w:tcW w:type="dxa" w:w="28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0.72</w:t>
            </w:r>
          </w:p>
        </w:tc>
      </w:tr>
      <w:tr>
        <w:tc>
          <w:tcPr>
            <w:tcW w:type="dxa" w:w="4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Legacy Software (NimbleMiner)</w:t>
            </w:r>
          </w:p>
        </w:tc>
        <w:tc>
          <w:tcPr>
            <w:tcW w:type="dxa" w:w="28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0.84 avg</w:t>
            </w:r>
          </w:p>
        </w:tc>
        <w:tc>
          <w:tcPr>
            <w:tcW w:type="dxa" w:w="28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0.84 avg</w:t>
            </w:r>
          </w:p>
        </w:tc>
      </w:tr>
    </w:tbl>
    <w:p>
      <w:pPr>
        <w:spacing w:after="80"/>
      </w:pPr>
      <w:r>
        <w:rPr>
          <w:sz w:val="8"/>
          <w:szCs w:val="8"/>
        </w:rPr>
        <w:t xml:space="preserve"/>
      </w:r>
    </w:p>
    <w:p>
      <w:pPr>
        <w:spacing w:after="140" w:line="320"/>
      </w:pPr>
      <w:r>
        <w:rPr>
          <w:rFonts w:ascii="Arial" w:cs="Arial" w:eastAsia="Arial" w:hAnsi="Arial"/>
          <w:b/>
          <w:bCs/>
          <w:color w:val="DC2626"/>
          <w:sz w:val="21"/>
          <w:szCs w:val="21"/>
        </w:rPr>
        <w:t xml:space="preserve">Critical limitation: </w:t>
      </w:r>
      <w:r>
        <w:rPr>
          <w:rFonts w:ascii="Arial" w:cs="Arial" w:eastAsia="Arial" w:hAnsi="Arial"/>
          <w:color w:val="1E293B"/>
          <w:sz w:val="21"/>
          <w:szCs w:val="21"/>
        </w:rPr>
        <w:t xml:space="preserve">A 10% error rate represents an unacceptable clinical and billing liability. This is why Stage 3 output requires mandatory human review (Layer 4) before any data enters the medical record or billing system. No exceptions.</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Stage 4: FHIR R4 Conversion</w:t>
      </w:r>
    </w:p>
    <w:p>
      <w:pPr>
        <w:spacing w:after="140" w:line="320"/>
      </w:pPr>
      <w:r>
        <w:rPr>
          <w:rFonts w:ascii="Arial" w:cs="Arial" w:eastAsia="Arial" w:hAnsi="Arial"/>
          <w:b/>
          <w:bCs/>
          <w:color w:val="1E293B"/>
          <w:sz w:val="21"/>
          <w:szCs w:val="21"/>
        </w:rPr>
        <w:t xml:space="preserve">Interoperability: </w:t>
      </w:r>
      <w:r>
        <w:rPr>
          <w:rFonts w:ascii="Arial" w:cs="Arial" w:eastAsia="Arial" w:hAnsi="Arial"/>
          <w:color w:val="1E293B"/>
          <w:sz w:val="21"/>
          <w:szCs w:val="21"/>
        </w:rPr>
        <w:t xml:space="preserve">Omaha-coded data is packaged into FHIR R4 Observation, Condition, and CarePlan resources via Health Samurai Aidbox (see Section 7). These FHIR objects are Epic- and Cerner-interoperable, enabling seamless ingestion into hospital EHR systems.</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Stage 5: Billing Code Generation + EVV</w:t>
      </w:r>
    </w:p>
    <w:p>
      <w:pPr>
        <w:spacing w:after="140" w:line="320"/>
      </w:pPr>
      <w:r>
        <w:rPr>
          <w:rFonts w:ascii="Arial" w:cs="Arial" w:eastAsia="Arial" w:hAnsi="Arial"/>
          <w:b/>
          <w:bCs/>
          <w:color w:val="1E293B"/>
          <w:sz w:val="21"/>
          <w:szCs w:val="21"/>
        </w:rPr>
        <w:t xml:space="preserve">Revenue: </w:t>
      </w:r>
      <w:r>
        <w:rPr>
          <w:rFonts w:ascii="Arial" w:cs="Arial" w:eastAsia="Arial" w:hAnsi="Arial"/>
          <w:color w:val="1E293B"/>
          <w:sz w:val="21"/>
          <w:szCs w:val="21"/>
        </w:rPr>
        <w:t xml:space="preserve">The system maps each encounter to applicable CMS billing codes (PIN G0023/G0024 and CHI G0019/G0022) while attaching GPS coordinates and timestamps to generate Medicaid-compliant Electronic Visit Verification (EVV) records per the 21st Century Cures Act.</w:t>
      </w:r>
    </w:p>
    <w:p>
      <w:r>
        <w:r>
          <w:br w:type="page"/>
        </w:r>
      </w:r>
    </w:p>
    <w:p>
      <w:pPr>
        <w:pStyle w:val="Heading1"/>
        <w:spacing w:before="400" w:after="200"/>
      </w:pPr>
      <w:r>
        <w:rPr>
          <w:rFonts w:ascii="Arial" w:cs="Arial" w:eastAsia="Arial" w:hAnsi="Arial"/>
          <w:b/>
          <w:bCs/>
          <w:color w:val="1E293B"/>
          <w:sz w:val="34"/>
          <w:szCs w:val="34"/>
        </w:rPr>
        <w:t xml:space="preserve">5. Layer 3: Cooperative Labor</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Technology alone cannot provide safe care. The Mount Sinai study proves this. But the cooperative labor model solves the industry’s deepest structural problem: when caregivers are paid poverty wages with no stability, they leave. When they leave, families lose the person who knows their parent best. When continuity breaks, safety collapses.</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5.1 The Economic Model</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320"/>
        <w:gridCol w:w="3320"/>
      </w:tblGrid>
      <w:tr>
        <w:tc>
          <w:tcPr>
            <w:tcW w:type="dxa" w:w="3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METRIC</w:t>
            </w:r>
          </w:p>
        </w:tc>
        <w:tc>
          <w:tcPr>
            <w:tcW w:type="dxa" w:w="33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TRADITIONAL AGENCY</w:t>
            </w:r>
          </w:p>
        </w:tc>
        <w:tc>
          <w:tcPr>
            <w:tcW w:type="dxa" w:w="33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CO-OP.CARE</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Caregiver hourly wage</w:t>
            </w:r>
          </w:p>
        </w:tc>
        <w:tc>
          <w:tcPr>
            <w:tcW w:type="dxa" w:w="33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$13–$17/hr</w:t>
            </w:r>
          </w:p>
        </w:tc>
        <w:tc>
          <w:tcPr>
            <w:tcW w:type="dxa" w:w="33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$25–$28/hr</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Employment type</w:t>
            </w:r>
          </w:p>
        </w:tc>
        <w:tc>
          <w:tcPr>
            <w:tcW w:type="dxa" w:w="33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1099 / gig</w:t>
            </w:r>
          </w:p>
        </w:tc>
        <w:tc>
          <w:tcPr>
            <w:tcW w:type="dxa" w:w="33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W-2 with benefits</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Equity ownership</w:t>
            </w:r>
          </w:p>
        </w:tc>
        <w:tc>
          <w:tcPr>
            <w:tcW w:type="dxa" w:w="33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None</w:t>
            </w:r>
          </w:p>
        </w:tc>
        <w:tc>
          <w:tcPr>
            <w:tcW w:type="dxa" w:w="33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Up to $52K over 5 years</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Annual turnover</w:t>
            </w:r>
          </w:p>
        </w:tc>
        <w:tc>
          <w:tcPr>
            <w:tcW w:type="dxa" w:w="33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77%</w:t>
            </w:r>
          </w:p>
        </w:tc>
        <w:tc>
          <w:tcPr>
            <w:tcW w:type="dxa" w:w="33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Target &lt;15%</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Governance voice</w:t>
            </w:r>
          </w:p>
        </w:tc>
        <w:tc>
          <w:tcPr>
            <w:tcW w:type="dxa" w:w="33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None</w:t>
            </w:r>
          </w:p>
        </w:tc>
        <w:tc>
          <w:tcPr>
            <w:tcW w:type="dxa" w:w="33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One member, one vote</w:t>
            </w:r>
          </w:p>
        </w:tc>
      </w:tr>
      <w:tr>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Family pays</w:t>
            </w:r>
          </w:p>
        </w:tc>
        <w:tc>
          <w:tcPr>
            <w:tcW w:type="dxa" w:w="33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$30–$45/hr</w:t>
            </w:r>
          </w:p>
        </w:tc>
        <w:tc>
          <w:tcPr>
            <w:tcW w:type="dxa" w:w="332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$30–$45/hr (same)</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Where the margin goes</w:t>
            </w:r>
          </w:p>
        </w:tc>
        <w:tc>
          <w:tcPr>
            <w:tcW w:type="dxa" w:w="33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Shareholders/PE</w:t>
            </w:r>
          </w:p>
        </w:tc>
        <w:tc>
          <w:tcPr>
            <w:tcW w:type="dxa" w:w="33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Worker equity + care quality</w:t>
            </w:r>
          </w:p>
        </w:tc>
      </w:tr>
    </w:tbl>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5.2 Why Cooperative Structure Is a Clinical Decision</w:t>
      </w:r>
    </w:p>
    <w:p>
      <w:pPr>
        <w:spacing w:after="140" w:line="320"/>
      </w:pPr>
      <w:r>
        <w:rPr>
          <w:rFonts w:ascii="Arial" w:cs="Arial" w:eastAsia="Arial" w:hAnsi="Arial"/>
          <w:b w:val="false"/>
          <w:bCs w:val="false"/>
          <w:i w:val="false"/>
          <w:iCs w:val="false"/>
          <w:color w:val="1E293B"/>
          <w:sz w:val="21"/>
          <w:szCs w:val="21"/>
        </w:rPr>
        <w:t xml:space="preserve">Low turnover is not just an HR metric. It is a safety metric. When the same caregiver sees a patient every day, they notice the subtle changes that prevent emergencies: a change in voice, a missed meal, a quieter morning, an unusual confusion episode. These observations become the raw data for the CareOS pipeline (Stage 1). High-turnover agencies lose this institutional knowledge every few months.</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cooperative structure also creates alignment between caregiver incentive and patient outcome. Worker-owners have equity at stake. Their financial interest is directly tied to patient satisfaction, care quality, and retention. This is the opposite of the extractive agency model where the incentive is to minimize caregiver cost to maximize shareholder return.</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5.3 The Community Time Bank</w:t>
      </w:r>
    </w:p>
    <w:p>
      <w:pPr>
        <w:spacing w:after="140" w:line="320"/>
      </w:pPr>
      <w:r>
        <w:rPr>
          <w:rFonts w:ascii="Arial" w:cs="Arial" w:eastAsia="Arial" w:hAnsi="Arial"/>
          <w:b w:val="false"/>
          <w:bCs w:val="false"/>
          <w:i w:val="false"/>
          <w:iCs w:val="false"/>
          <w:color w:val="1E293B"/>
          <w:sz w:val="21"/>
          <w:szCs w:val="21"/>
        </w:rPr>
        <w:t xml:space="preserve">To extend care capacity beyond paid caregivers, co-op.care integrates a non-monetary reciprocal labor system. Neighbors contribute care hours (meal preparation, transportation, companionship, yard work) and earn Care Credits redeemable for equivalent services. One hour given equals one hour received. The Time Bank creates a community safety net that supplements professional care and scales without cash expenditure.</w:t>
      </w:r>
    </w:p>
    <w:p>
      <w:r>
        <w:r>
          <w:br w:type="page"/>
        </w:r>
      </w:r>
    </w:p>
    <w:p>
      <w:pPr>
        <w:pStyle w:val="Heading1"/>
        <w:spacing w:before="400" w:after="200"/>
      </w:pPr>
      <w:r>
        <w:rPr>
          <w:rFonts w:ascii="Arial" w:cs="Arial" w:eastAsia="Arial" w:hAnsi="Arial"/>
          <w:b/>
          <w:bCs/>
          <w:color w:val="1E293B"/>
          <w:sz w:val="34"/>
          <w:szCs w:val="34"/>
        </w:rPr>
        <w:t xml:space="preserve">6. Layer 4: Physician Clinical Oversight</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Clinical Director (MD/DO) is the keystone of the entire architecture. Without physician oversight, the cooperative cannot: enroll in Medicare, obtain CDPHE home care agency licensure, apply for CMS ACCESS Model participation, bill PIN/CHI codes, sign Letters of Medical Necessity for HSA/FSA eligibility, or provide the clinical governance that distinguishes co-op.care from custodial care.</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6.1 Clinical Director Responsibilities</w:t>
      </w:r>
    </w:p>
    <w:p>
      <w:pPr>
        <w:pStyle w:val="ListParagraph"/>
        <w:numPr>
          <w:ilvl w:val="0"/>
          <w:numId w:val="3"/>
        </w:numPr>
        <w:spacing w:after="90" w:line="300"/>
      </w:pPr>
      <w:r>
        <w:rPr>
          <w:rFonts w:ascii="Arial" w:cs="Arial" w:eastAsia="Arial" w:hAnsi="Arial"/>
          <w:color w:val="1E293B"/>
          <w:sz w:val="21"/>
          <w:szCs w:val="21"/>
        </w:rPr>
        <w:t xml:space="preserve">Review and approve all care plans generated from CII/CRI assessments</w:t>
      </w:r>
    </w:p>
    <w:p>
      <w:pPr>
        <w:pStyle w:val="ListParagraph"/>
        <w:numPr>
          <w:ilvl w:val="0"/>
          <w:numId w:val="3"/>
        </w:numPr>
        <w:spacing w:after="90" w:line="300"/>
      </w:pPr>
      <w:r>
        <w:rPr>
          <w:rFonts w:ascii="Arial" w:cs="Arial" w:eastAsia="Arial" w:hAnsi="Arial"/>
          <w:color w:val="1E293B"/>
          <w:sz w:val="21"/>
          <w:szCs w:val="21"/>
        </w:rPr>
        <w:t xml:space="preserve">Provide medical oversight for home care delivery under CDPHE requirements</w:t>
      </w:r>
    </w:p>
    <w:p>
      <w:pPr>
        <w:pStyle w:val="ListParagraph"/>
        <w:numPr>
          <w:ilvl w:val="0"/>
          <w:numId w:val="3"/>
        </w:numPr>
        <w:spacing w:after="90" w:line="300"/>
      </w:pPr>
      <w:r>
        <w:rPr>
          <w:rFonts w:ascii="Arial" w:cs="Arial" w:eastAsia="Arial" w:hAnsi="Arial"/>
          <w:color w:val="1E293B"/>
          <w:sz w:val="21"/>
          <w:szCs w:val="21"/>
        </w:rPr>
        <w:t xml:space="preserve">Sign Letters of Medical Necessity — converting custodial care into qualified medical expenses (enabling 36% family cost reduction via HSA/FSA)</w:t>
      </w:r>
    </w:p>
    <w:p>
      <w:pPr>
        <w:pStyle w:val="ListParagraph"/>
        <w:numPr>
          <w:ilvl w:val="0"/>
          <w:numId w:val="3"/>
        </w:numPr>
        <w:spacing w:after="90" w:line="300"/>
      </w:pPr>
      <w:r>
        <w:rPr>
          <w:rFonts w:ascii="Arial" w:cs="Arial" w:eastAsia="Arial" w:hAnsi="Arial"/>
          <w:color w:val="1E293B"/>
          <w:sz w:val="21"/>
          <w:szCs w:val="21"/>
        </w:rPr>
        <w:t xml:space="preserve">Oversee clinical documentation quality and Omaha System coding accuracy</w:t>
      </w:r>
    </w:p>
    <w:p>
      <w:pPr>
        <w:pStyle w:val="ListParagraph"/>
        <w:numPr>
          <w:ilvl w:val="0"/>
          <w:numId w:val="3"/>
        </w:numPr>
        <w:spacing w:after="90" w:line="300"/>
      </w:pPr>
      <w:r>
        <w:rPr>
          <w:rFonts w:ascii="Arial" w:cs="Arial" w:eastAsia="Arial" w:hAnsi="Arial"/>
          <w:color w:val="1E293B"/>
          <w:sz w:val="21"/>
          <w:szCs w:val="21"/>
        </w:rPr>
        <w:t xml:space="preserve">Attest all Medicare billing codes (PIN G0023/G0024, CHI G0019/G0022)</w:t>
      </w:r>
    </w:p>
    <w:p>
      <w:pPr>
        <w:pStyle w:val="ListParagraph"/>
        <w:numPr>
          <w:ilvl w:val="0"/>
          <w:numId w:val="3"/>
        </w:numPr>
        <w:spacing w:after="90" w:line="300"/>
      </w:pPr>
      <w:r>
        <w:rPr>
          <w:rFonts w:ascii="Arial" w:cs="Arial" w:eastAsia="Arial" w:hAnsi="Arial"/>
          <w:color w:val="1E293B"/>
          <w:sz w:val="21"/>
          <w:szCs w:val="21"/>
        </w:rPr>
        <w:t xml:space="preserve">Supervise AI-generated clinical data before it enters the medical record</w:t>
      </w:r>
    </w:p>
    <w:p>
      <w:pPr>
        <w:pStyle w:val="ListParagraph"/>
        <w:numPr>
          <w:ilvl w:val="0"/>
          <w:numId w:val="3"/>
        </w:numPr>
        <w:spacing w:after="90" w:line="300"/>
      </w:pPr>
      <w:r>
        <w:rPr>
          <w:rFonts w:ascii="Arial" w:cs="Arial" w:eastAsia="Arial" w:hAnsi="Arial"/>
          <w:color w:val="1E293B"/>
          <w:sz w:val="21"/>
          <w:szCs w:val="21"/>
        </w:rPr>
        <w:t xml:space="preserve">Participate in CMS ACCESS Model clinical governance</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6.2 Legal Transformation: Custodial to Medical</w:t>
      </w:r>
    </w:p>
    <w:p>
      <w:pPr>
        <w:spacing w:after="140" w:line="320"/>
      </w:pPr>
      <w:r>
        <w:rPr>
          <w:rFonts w:ascii="Arial" w:cs="Arial" w:eastAsia="Arial" w:hAnsi="Arial"/>
          <w:b w:val="false"/>
          <w:bCs w:val="false"/>
          <w:i w:val="false"/>
          <w:iCs w:val="false"/>
          <w:color w:val="1E293B"/>
          <w:sz w:val="21"/>
          <w:szCs w:val="21"/>
        </w:rPr>
        <w:t xml:space="preserve">This is one of the most important architectural decisions in the entire platform. Under IRS Publication 502, custodial care (bathing, dressing, meal preparation) is generally not a qualified medical expense and cannot be paid with HSA/FSA funds. However, when the same services are prescribed by a physician and documented as medically necessary, they become qualified medical expenses.</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The Clinical Director’s Letter of Medical Necessity transforms home care from a $30–45/hour out-of-pocket expense into a pre-tax HSA/FSA expenditure, effectively reducing family costs by 25–37% </w:t>
      </w:r>
      <w:r>
        <w:rPr>
          <w:rFonts w:ascii="Arial" w:cs="Arial" w:eastAsia="Arial" w:hAnsi="Arial"/>
          <w:color w:val="1E293B"/>
          <w:sz w:val="21"/>
          <w:szCs w:val="21"/>
        </w:rPr>
        <w:t xml:space="preserve">depending on tax bracket. For a family paying $2,400/month, this represents $600–$888/month in savings from tax advantages alone — before any cooperative pricing benefit.</w:t>
      </w:r>
    </w:p>
    <w:p>
      <w:r>
        <w:r>
          <w:br w:type="page"/>
        </w:r>
      </w:r>
    </w:p>
    <w:p>
      <w:pPr>
        <w:pStyle w:val="Heading1"/>
        <w:spacing w:before="400" w:after="200"/>
      </w:pPr>
      <w:r>
        <w:rPr>
          <w:rFonts w:ascii="Arial" w:cs="Arial" w:eastAsia="Arial" w:hAnsi="Arial"/>
          <w:b/>
          <w:bCs/>
          <w:color w:val="1E293B"/>
          <w:sz w:val="34"/>
          <w:szCs w:val="34"/>
        </w:rPr>
        <w:t xml:space="preserve">7. FHIR Data Platform: Health Samurai Aidbox</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data persistence and interoperability layer of CareOS is powered by Health Samurai Aidbox — a FHIR-native backend platform built on PostgreSQL. Aidbox was selected over alternatives (Hapi FHIR, Medplum, Azure FHIR Service) because it provides a complete development platform rather than just a FHIR server. This section provides an exhaustive technical analysis drawn from Health Samurai’s official documentation and independent evaluations.</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7.1 Foundational Architecture: The Metadata-Driven Engine</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At the core of Aidbox is a metadata-driven platform </w:t>
      </w:r>
      <w:r>
        <w:rPr>
          <w:rFonts w:ascii="Arial" w:cs="Arial" w:eastAsia="Arial" w:hAnsi="Arial"/>
          <w:color w:val="1E293B"/>
          <w:sz w:val="21"/>
          <w:szCs w:val="21"/>
        </w:rPr>
        <w:t xml:space="preserve">where nearly every system component — from REST operation definitions to access control policies — is represented as a “meta-resource.” [1] Developers manipulate the platform’s configuration using the same unified REST API they use for patient demographics or clinical observations. [1] This self-describing nature allows for a degree of programmability and agility rarely seen in enterprise healthcare software.</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Technology Stack</w:t>
      </w:r>
    </w:p>
    <w:p>
      <w:pPr>
        <w:pStyle w:val="ListParagraph"/>
        <w:numPr>
          <w:ilvl w:val="0"/>
          <w:numId w:val="4"/>
        </w:numPr>
        <w:spacing w:after="90" w:line="300"/>
      </w:pPr>
      <w:r>
        <w:rPr>
          <w:rFonts w:ascii="Arial" w:cs="Arial" w:eastAsia="Arial" w:hAnsi="Arial"/>
          <w:color w:val="1E293B"/>
          <w:sz w:val="21"/>
          <w:szCs w:val="21"/>
        </w:rPr>
        <w:t xml:space="preserve">Clojure application server on the Java Virtual Machine (JVM). [4] Functional programming paradigm with immutable data structures — critical for preserving clinical record integrity across concurrent operations.</w:t>
      </w:r>
    </w:p>
    <w:p>
      <w:pPr>
        <w:pStyle w:val="ListParagraph"/>
        <w:numPr>
          <w:ilvl w:val="0"/>
          <w:numId w:val="4"/>
        </w:numPr>
        <w:spacing w:after="90" w:line="300"/>
      </w:pPr>
      <w:r>
        <w:rPr>
          <w:rFonts w:ascii="Arial" w:cs="Arial" w:eastAsia="Arial" w:hAnsi="Arial"/>
          <w:color w:val="1E293B"/>
          <w:sz w:val="21"/>
          <w:szCs w:val="21"/>
        </w:rPr>
        <w:t xml:space="preserve">Non-blocking I/O with garbage collection tuned for high-concurrency healthcare workloads. Low latency even when processing millions of resources. [2]</w:t>
      </w:r>
    </w:p>
    <w:p>
      <w:pPr>
        <w:pStyle w:val="ListParagraph"/>
        <w:numPr>
          <w:ilvl w:val="0"/>
          <w:numId w:val="4"/>
        </w:numPr>
        <w:spacing w:after="90" w:line="300"/>
      </w:pPr>
      <w:r>
        <w:rPr>
          <w:rFonts w:ascii="Arial" w:cs="Arial" w:eastAsia="Arial" w:hAnsi="Arial"/>
          <w:color w:val="1E293B"/>
          <w:sz w:val="21"/>
          <w:szCs w:val="21"/>
        </w:rPr>
        <w:t xml:space="preserve">Cloud-native runtime for EHR systems and massive data-analytics products. [1]</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The Aidbox Format</w:t>
      </w:r>
    </w:p>
    <w:p>
      <w:pPr>
        <w:spacing w:after="140" w:line="320"/>
      </w:pPr>
      <w:r>
        <w:rPr>
          <w:rFonts w:ascii="Arial" w:cs="Arial" w:eastAsia="Arial" w:hAnsi="Arial"/>
          <w:b w:val="false"/>
          <w:bCs w:val="false"/>
          <w:i w:val="false"/>
          <w:iCs w:val="false"/>
          <w:color w:val="1E293B"/>
          <w:sz w:val="21"/>
          <w:szCs w:val="21"/>
        </w:rPr>
        <w:t xml:space="preserve">While built for FHIR, Aidbox introduces an internal data structure known as the Aidbox format — isomorphic to the official FHIR standard (one-to-one mapping for every element). [1] This enables enhanced capabilities like first-class extensions and custom resources while maintaining full compatibility for external exchange. When interacting with external systems via /fhir endpoints, on-the-fly conversion ensures strict adherence to HL7 FHIR R3, R4, R4B, R5, and R6 specifications. [1]</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7.2 Persistence Layer: PostgreSQL JSONB</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Clinical data is inherently deeply nested, polymorphic, and subject to frequent schema variations. Mapping FHIR resources to a traditional RDBMS results in “table explosion” where a single patient record fragments across dozens of joined tables, causing catastrophic performance degradation. [8] Aidbox solves this with PostgreSQL JSONB — combining document-store flexibility with relational database transactional rigor. [8]</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Dual-Table Architecture</w:t>
      </w:r>
    </w:p>
    <w:p>
      <w:pPr>
        <w:spacing w:after="140" w:line="320"/>
      </w:pPr>
      <w:r>
        <w:rPr>
          <w:rFonts w:ascii="Arial" w:cs="Arial" w:eastAsia="Arial" w:hAnsi="Arial"/>
          <w:b/>
          <w:bCs/>
          <w:color w:val="1E293B"/>
          <w:sz w:val="21"/>
          <w:szCs w:val="21"/>
        </w:rPr>
        <w:t xml:space="preserve">Each FHIR resource type is assigned exactly two tables:</w:t>
      </w:r>
      <w:r>
        <w:rPr>
          <w:rFonts w:ascii="Arial" w:cs="Arial" w:eastAsia="Arial" w:hAnsi="Arial"/>
          <w:color w:val="1E293B"/>
          <w:sz w:val="21"/>
          <w:szCs w:val="21"/>
        </w:rPr>
        <w:t xml:space="preserve"> a main table for current records and a history table for version persistence. [8] Every update triggers an atomic transaction: the existing record moves to the history table before the new version is written to the main table. [8] This preserves a complete, immutable audit trail of every modification to every patient record.</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6340"/>
      </w:tblGrid>
      <w:tr>
        <w:tc>
          <w:tcPr>
            <w:tcW w:type="dxa" w:w="1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COLUMN</w:t>
            </w:r>
          </w:p>
        </w:tc>
        <w:tc>
          <w:tcPr>
            <w:tcW w:type="dxa" w:w="17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TYPE</w:t>
            </w:r>
          </w:p>
        </w:tc>
        <w:tc>
          <w:tcPr>
            <w:tcW w:type="dxa" w:w="63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PURPOSE + CITATION</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id</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text</w:t>
            </w:r>
          </w:p>
        </w:tc>
        <w:tc>
          <w:tcPr>
            <w:tcW w:type="dxa" w:w="63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Persistent FHIR resource identifier. Primary key. [8]</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txid</w:t>
            </w:r>
          </w:p>
        </w:tc>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bigint</w:t>
            </w:r>
          </w:p>
        </w:tc>
        <w:tc>
          <w:tcPr>
            <w:tcW w:type="dxa" w:w="6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Global transaction ID from a shared sequence (transaction_id_seq) for cross-resource ordering. Enables point-in-time database state reconstruction. [8]</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resource</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jsonb</w:t>
            </w:r>
          </w:p>
        </w:tc>
        <w:tc>
          <w:tcPr>
            <w:tcW w:type="dxa" w:w="63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Binary JSON representation of the FHIR or Aidbox resource. [8]</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status</w:t>
            </w:r>
          </w:p>
        </w:tc>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enum</w:t>
            </w:r>
          </w:p>
        </w:tc>
        <w:tc>
          <w:tcPr>
            <w:tcW w:type="dxa" w:w="6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Lifecycle indicator: created, updated, deleted, recreated. [8]</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ts</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timestamptz</w:t>
            </w:r>
          </w:p>
        </w:tc>
        <w:tc>
          <w:tcPr>
            <w:tcW w:type="dxa" w:w="63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Timestamp reflecting exact moment the version was committed. [8]</w:t>
            </w:r>
          </w:p>
        </w:tc>
      </w:tr>
      <w:tr>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cts</w:t>
            </w:r>
          </w:p>
        </w:tc>
        <w:tc>
          <w:tcPr>
            <w:tcW w:type="dxa" w:w="17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timestamptz</w:t>
            </w:r>
          </w:p>
        </w:tc>
        <w:tc>
          <w:tcPr>
            <w:tcW w:type="dxa" w:w="63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Immutable creation timestamp of the original resource instance. [9]</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resource_type</w:t>
            </w:r>
          </w:p>
        </w:tc>
        <w:tc>
          <w:tcPr>
            <w:tcW w:type="dxa" w:w="1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text</w:t>
            </w:r>
          </w:p>
        </w:tc>
        <w:tc>
          <w:tcPr>
            <w:tcW w:type="dxa" w:w="63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String identifier for the FHIR resource class. [9]</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Direct SQL access: </w:t>
      </w:r>
      <w:r>
        <w:rPr>
          <w:rFonts w:ascii="Arial" w:cs="Arial" w:eastAsia="Arial" w:hAnsi="Arial"/>
          <w:color w:val="1E293B"/>
          <w:sz w:val="21"/>
          <w:szCs w:val="21"/>
        </w:rPr>
        <w:t xml:space="preserve">Because the engine is pure PostgreSQL, developers can bypass the FHIR API when necessary to perform high-performance SQL queries directly against the JSONB data using PostgreSQL’s native JSON operators. [8] This is how CareOS generates complex analytics and quality reports without API serialization overhead.</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7.3 High-Performance Search and Indexing</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Performance in a FHIR server is determined by its ability to execute complex searches across massive datasets. Aidbox compiles FHIR search parameters into native PostgreSQL SQL expressions through a pipeline that parses HTTP request parameters, resolves them against a central SearchParameter registry, and generates optimized queries. [4]</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40"/>
      </w:tblGrid>
      <w:t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SEARCH TYPE</w:t>
            </w:r>
          </w:p>
        </w:tc>
        <w:tc>
          <w:tcPr>
            <w:tcW w:type="dxa" w:w="3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POSTGRESQL MECHANISM</w:t>
            </w:r>
          </w:p>
        </w:tc>
        <w:tc>
          <w:tcPr>
            <w:tcW w:type="dxa" w:w="38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CO-OP.CARE USE CASE</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Token search</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JSONB containment operator (@&gt;) for exact matches within CodeableConcept arrays. [8]</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Find all Observations with Omaha Problem code “Neuromusculoskeletal”</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Reference search</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Optimized path queries to extract and match identifiers. [8]</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Navigate Patient → Encounter → CarePlan → Observation chains</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String search</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:contains, :exact, :missing modifiers via PostgreSQL text search. [4]</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Partial-match caregiver name lookups, missing-field validation</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Primary identifiers</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B-tree indexes for O(log n) lookup. [4]</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Patient ID and NPI lookups for billing</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Complex JSON</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GIN (Generalized Inverted Index) for nested structures. [4]</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Deep-search CRI assessment results within Observation resources</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Scale: </w:t>
      </w:r>
      <w:r>
        <w:rPr>
          <w:rFonts w:ascii="Arial" w:cs="Arial" w:eastAsia="Arial" w:hAnsi="Arial"/>
          <w:color w:val="1E293B"/>
          <w:sz w:val="21"/>
          <w:szCs w:val="21"/>
        </w:rPr>
        <w:t xml:space="preserve">This optimization allows thousands of operations per second even when the database contains hundreds of millions of resources. [2]</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7.4 Interoperability: HL7 v2, C-CDA, and EHR Integration</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HL7 v2 remains the backbone of real-time clinical messaging in the majority of hospital systems. [17] The Aidbox HL7 v2 pipeline is a highly configurable engine that transforms traditional pipe-and-hat messages into FHIR resources through a multi-step process: [19]</w:t>
      </w:r>
    </w:p>
    <w:p>
      <w:pPr>
        <w:spacing w:after="80"/>
      </w:pPr>
      <w:r>
        <w:rPr>
          <w:sz w:val="8"/>
          <w:szCs w:val="8"/>
        </w:rPr>
        <w:t xml:space="preserve"/>
      </w:r>
    </w:p>
    <w:p>
      <w:pPr>
        <w:pStyle w:val="ListParagraph"/>
        <w:numPr>
          <w:ilvl w:val="0"/>
          <w:numId w:val="5"/>
        </w:numPr>
        <w:spacing w:after="90" w:line="300"/>
      </w:pPr>
      <w:r>
        <w:rPr>
          <w:rFonts w:ascii="Arial" w:cs="Arial" w:eastAsia="Arial" w:hAnsi="Arial"/>
          <w:color w:val="1E293B"/>
          <w:sz w:val="21"/>
          <w:szCs w:val="21"/>
        </w:rPr>
        <w:t xml:space="preserve">Raw HL7 v2 message is parsed into an “intermediate format” that preserves all original fields (including non-standard Z-segments) in a JSON structure close to FHIR. [19]</w:t>
      </w:r>
    </w:p>
    <w:p>
      <w:pPr>
        <w:pStyle w:val="ListParagraph"/>
        <w:numPr>
          <w:ilvl w:val="0"/>
          <w:numId w:val="5"/>
        </w:numPr>
        <w:spacing w:after="90" w:line="300"/>
      </w:pPr>
      <w:r>
        <w:rPr>
          <w:rFonts w:ascii="Arial" w:cs="Arial" w:eastAsia="Arial" w:hAnsi="Arial"/>
          <w:color w:val="1E293B"/>
          <w:sz w:val="21"/>
          <w:szCs w:val="21"/>
        </w:rPr>
        <w:t xml:space="preserve">Mappings defined using a Lisp-based Domain Specific Language (DSL) transform segment data (PID, OBR, etc.) into FHIR Bundles for transaction-level consistency. [17][19]</w:t>
      </w:r>
    </w:p>
    <w:p>
      <w:pPr>
        <w:pStyle w:val="ListParagraph"/>
        <w:numPr>
          <w:ilvl w:val="0"/>
          <w:numId w:val="5"/>
        </w:numPr>
        <w:spacing w:after="90" w:line="300"/>
      </w:pPr>
      <w:r>
        <w:rPr>
          <w:rFonts w:ascii="Arial" w:cs="Arial" w:eastAsia="Arial" w:hAnsi="Arial"/>
          <w:color w:val="1E293B"/>
          <w:sz w:val="21"/>
          <w:szCs w:val="21"/>
        </w:rPr>
        <w:t xml:space="preserve">C-CDA converter decomposes clinical documents (discharge summaries, referral notes) into discrete FHIR resources: Observation, Condition, MedicationRequest. [5]</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Epic and Cerner Integration Patterns</w:t>
      </w:r>
    </w:p>
    <w:p>
      <w:pPr>
        <w:spacing w:after="140" w:line="320"/>
      </w:pPr>
      <w:r>
        <w:rPr>
          <w:rFonts w:ascii="Arial" w:cs="Arial" w:eastAsia="Arial" w:hAnsi="Arial"/>
          <w:b w:val="false"/>
          <w:bCs w:val="false"/>
          <w:i w:val="false"/>
          <w:iCs w:val="false"/>
          <w:color w:val="1E293B"/>
          <w:sz w:val="21"/>
          <w:szCs w:val="21"/>
        </w:rPr>
        <w:t xml:space="preserve">Aidbox implements the SMART on FHIR framework [6] for two primary integration patterns with major EHR vendors:</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720"/>
        <w:gridCol w:w="3720"/>
      </w:tblGrid>
      <w:t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FEATURE</w:t>
            </w:r>
          </w:p>
        </w:tc>
        <w:tc>
          <w:tcPr>
            <w:tcW w:type="dxa" w:w="37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EPIC SHOWROOM</w:t>
            </w:r>
          </w:p>
        </w:tc>
        <w:tc>
          <w:tcPr>
            <w:tcW w:type="dxa" w:w="37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CERNER CODE CONSOLE</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Registration</w:t>
            </w:r>
          </w:p>
        </w:tc>
        <w:tc>
          <w:tcPr>
            <w:tcW w:type="dxa" w:w="3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Formerly App Orchard. [18]</w:t>
            </w:r>
          </w:p>
        </w:tc>
        <w:tc>
          <w:tcPr>
            <w:tcW w:type="dxa" w:w="3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Open Developer Experience. [21]</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Authorization</w:t>
            </w:r>
          </w:p>
        </w:tc>
        <w:tc>
          <w:tcPr>
            <w:tcW w:type="dxa" w:w="37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OAuth 2.0 with PKCE. [18]</w:t>
            </w:r>
          </w:p>
        </w:tc>
        <w:tc>
          <w:tcPr>
            <w:tcW w:type="dxa" w:w="37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OAuth 2.0 / fhir-client library. [21]</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Launch Context</w:t>
            </w:r>
          </w:p>
        </w:tc>
        <w:tc>
          <w:tcPr>
            <w:tcW w:type="dxa" w:w="3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Hyperspace (Clinician) / MyChart (Patient). [18]</w:t>
            </w:r>
          </w:p>
        </w:tc>
        <w:tc>
          <w:tcPr>
            <w:tcW w:type="dxa" w:w="3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Sandbox Simulation. [21]</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Scope Syntax</w:t>
            </w:r>
          </w:p>
        </w:tc>
        <w:tc>
          <w:tcPr>
            <w:tcW w:type="dxa" w:w="37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patient/Observation.rs [18]</w:t>
            </w:r>
          </w:p>
        </w:tc>
        <w:tc>
          <w:tcPr>
            <w:tcW w:type="dxa" w:w="37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patient/Observation.read [18]</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Certification</w:t>
            </w:r>
          </w:p>
        </w:tc>
        <w:tc>
          <w:tcPr>
            <w:tcW w:type="dxa" w:w="3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4–8 weeks for technical review. [18]</w:t>
            </w:r>
          </w:p>
        </w:tc>
        <w:tc>
          <w:tcPr>
            <w:tcW w:type="dxa" w:w="3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Varies by implementation scope. [18]</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SMART on FHIR apps </w:t>
      </w:r>
      <w:r>
        <w:rPr>
          <w:rFonts w:ascii="Arial" w:cs="Arial" w:eastAsia="Arial" w:hAnsi="Arial"/>
          <w:color w:val="1E293B"/>
          <w:sz w:val="21"/>
          <w:szCs w:val="21"/>
        </w:rPr>
        <w:t xml:space="preserve">are context-aware web apps launched directly from the EHR interface. When a BCH clinician clicks a button on a patient chart, CareOS opens and automatically receives the patient ID, user ID, and encounter ID via a signed JWT. [22] </w:t>
      </w:r>
      <w:r>
        <w:rPr>
          <w:rFonts w:ascii="Arial" w:cs="Arial" w:eastAsia="Arial" w:hAnsi="Arial"/>
          <w:b/>
          <w:bCs/>
          <w:color w:val="1E293B"/>
          <w:sz w:val="21"/>
          <w:szCs w:val="21"/>
        </w:rPr>
        <w:t xml:space="preserve">Backend systems </w:t>
      </w:r>
      <w:r>
        <w:rPr>
          <w:rFonts w:ascii="Arial" w:cs="Arial" w:eastAsia="Arial" w:hAnsi="Arial"/>
          <w:color w:val="1E293B"/>
          <w:sz w:val="21"/>
          <w:szCs w:val="21"/>
        </w:rPr>
        <w:t xml:space="preserve">provide persistent 24/7 integration for analytics, population health monitoring, and automated notifications via FHIR APIs, HL7 v2 ADT feeds, and webhooks. [21][22]</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Abstraction layer: </w:t>
      </w:r>
      <w:r>
        <w:rPr>
          <w:rFonts w:ascii="Arial" w:cs="Arial" w:eastAsia="Arial" w:hAnsi="Arial"/>
          <w:color w:val="1E293B"/>
          <w:sz w:val="21"/>
          <w:szCs w:val="21"/>
        </w:rPr>
        <w:t xml:space="preserve">Aidbox provides a centralized integration layer where EHR-specific data models are mapped to vendor-agnostic internal models. Adding support for a second or third EHR vendor does not require rewriting application logic. [18]</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7.5 Security Engine: AccessPolicy and FHIR BALP</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Aidbox provides a comprehensive security engine centered on the AccessPolicy custom resource. [24] Unlike basic role-based access control (RBAC), it supports Attribute-Based Access Control (ABAC) and Relationship-Based Access Control (ReBAC). [5]</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Policy Evaluation Engines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640"/>
      </w:tblGrid>
      <w:tr>
        <w:tc>
          <w:tcPr>
            <w:tcW w:type="dxa" w:w="20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ENGINE</w:t>
            </w:r>
          </w:p>
        </w:tc>
        <w:tc>
          <w:tcPr>
            <w:tcW w:type="dxa" w:w="4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MECHANISM</w:t>
            </w:r>
          </w:p>
        </w:tc>
        <w:tc>
          <w:tcPr>
            <w:tcW w:type="dxa" w:w="36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CO-OP.CARE APPLICATION</w:t>
            </w:r>
          </w:p>
        </w:tc>
      </w:tr>
      <w:tr>
        <w:tc>
          <w:tcPr>
            <w:tcW w:type="dxa" w:w="2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Matcho</w:t>
            </w:r>
          </w:p>
        </w:tc>
        <w:tc>
          <w:tcPr>
            <w:tcW w:type="dxa" w:w="4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Compact declarative syntax matching request context against rules. Covers 90% of scenarios. [25]</w:t>
            </w:r>
          </w:p>
        </w:tc>
        <w:tc>
          <w:tcPr>
            <w:tcW w:type="dxa" w:w="36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Caregiver can only read their assigned patients’ records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SQL</w:t>
            </w:r>
          </w:p>
        </w:tc>
        <w:tc>
          <w:tcPr>
            <w:tcW w:type="dxa" w:w="4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Direct SQL queries joining multiple tables. Uses return value as authorization result. [25]</w:t>
            </w:r>
          </w:p>
        </w:tc>
        <w:tc>
          <w:tcPr>
            <w:tcW w:type="dxa" w:w="36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Verify practitioner is on the CareTeam for a specific encounter</w:t>
            </w:r>
          </w:p>
        </w:tc>
      </w:tr>
    </w:tbl>
    <w:p>
      <w:pPr>
        <w:spacing w:after="80"/>
      </w:pPr>
      <w:r>
        <w:rPr>
          <w:sz w:val="8"/>
          <w:szCs w:val="8"/>
        </w:rPr>
        <w:t xml:space="preserve"/>
      </w:r>
    </w:p>
    <w:p>
      <w:pPr>
        <w:spacing w:before="180" w:after="100"/>
      </w:pPr>
      <w:r>
        <w:rPr>
          <w:rFonts w:ascii="Arial" w:cs="Arial" w:eastAsia="Arial" w:hAnsi="Arial"/>
          <w:b/>
          <w:bCs/>
          <w:color w:val="0F766E"/>
          <w:sz w:val="22"/>
          <w:szCs w:val="22"/>
        </w:rPr>
        <w:t xml:space="preserve">co-op.care Access Control Matrix</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940"/>
      </w:tblGrid>
      <w:tr>
        <w:tc>
          <w:tcPr>
            <w:tcW w:type="dxa" w:w="2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RESOURCE</w:t>
            </w:r>
          </w:p>
        </w:tc>
        <w:tc>
          <w:tcPr>
            <w:tcW w:type="dxa" w:w="19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CAREGIVER</w:t>
            </w:r>
          </w:p>
        </w:tc>
        <w:tc>
          <w:tcPr>
            <w:tcW w:type="dxa" w:w="19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FAMILY</w:t>
            </w:r>
          </w:p>
        </w:tc>
        <w:tc>
          <w:tcPr>
            <w:tcW w:type="dxa" w:w="19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RN/DON</w:t>
            </w:r>
          </w:p>
        </w:tc>
        <w:tc>
          <w:tcPr>
            <w:tcW w:type="dxa" w:w="19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MD/DO</w:t>
            </w:r>
          </w:p>
        </w:tc>
      </w:tr>
      <w:tr>
        <w:tc>
          <w:tcPr>
            <w:tcW w:type="dxa" w:w="2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Patient demographics</w:t>
            </w:r>
          </w:p>
        </w:tc>
        <w:tc>
          <w:tcPr>
            <w:tcW w:type="dxa" w:w="19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 (assigned)</w:t>
            </w:r>
          </w:p>
        </w:tc>
        <w:tc>
          <w:tcPr>
            <w:tcW w:type="dxa" w:w="19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 (family)</w:t>
            </w:r>
          </w:p>
        </w:tc>
        <w:tc>
          <w:tcPr>
            <w:tcW w:type="dxa" w:w="19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Read/Write</w:t>
            </w:r>
          </w:p>
        </w:tc>
        <w:tc>
          <w:tcPr>
            <w:tcW w:type="dxa" w:w="1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Read/Write</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Observations</w:t>
            </w:r>
          </w:p>
        </w:tc>
        <w:tc>
          <w:tcPr>
            <w:tcW w:type="dxa" w:w="19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Create (assigned)</w:t>
            </w:r>
          </w:p>
        </w:tc>
        <w:tc>
          <w:tcPr>
            <w:tcW w:type="dxa" w:w="19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 (family)</w:t>
            </w:r>
          </w:p>
        </w:tc>
        <w:tc>
          <w:tcPr>
            <w:tcW w:type="dxa" w:w="19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Read/Write/Review</w:t>
            </w:r>
          </w:p>
        </w:tc>
        <w:tc>
          <w:tcPr>
            <w:tcW w:type="dxa" w:w="19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Read/Write/Attest</w:t>
            </w:r>
          </w:p>
        </w:tc>
      </w:tr>
      <w:tr>
        <w:tc>
          <w:tcPr>
            <w:tcW w:type="dxa" w:w="2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CarePlans</w:t>
            </w:r>
          </w:p>
        </w:tc>
        <w:tc>
          <w:tcPr>
            <w:tcW w:type="dxa" w:w="19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 (assigned)</w:t>
            </w:r>
          </w:p>
        </w:tc>
        <w:tc>
          <w:tcPr>
            <w:tcW w:type="dxa" w:w="19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 (family)</w:t>
            </w:r>
          </w:p>
        </w:tc>
        <w:tc>
          <w:tcPr>
            <w:tcW w:type="dxa" w:w="19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Read/Write</w:t>
            </w:r>
          </w:p>
        </w:tc>
        <w:tc>
          <w:tcPr>
            <w:tcW w:type="dxa" w:w="1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Read/Write/Sign</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Billing claims</w:t>
            </w:r>
          </w:p>
        </w:tc>
        <w:tc>
          <w:tcPr>
            <w:tcW w:type="dxa" w:w="19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None</w:t>
            </w:r>
          </w:p>
        </w:tc>
        <w:tc>
          <w:tcPr>
            <w:tcW w:type="dxa" w:w="19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None</w:t>
            </w:r>
          </w:p>
        </w:tc>
        <w:tc>
          <w:tcPr>
            <w:tcW w:type="dxa" w:w="19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w:t>
            </w:r>
          </w:p>
        </w:tc>
        <w:tc>
          <w:tcPr>
            <w:tcW w:type="dxa" w:w="19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Attest/Submit</w:t>
            </w:r>
          </w:p>
        </w:tc>
      </w:tr>
      <w:tr>
        <w:tc>
          <w:tcPr>
            <w:tcW w:type="dxa" w:w="2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AuditEvent logs</w:t>
            </w:r>
          </w:p>
        </w:tc>
        <w:tc>
          <w:tcPr>
            <w:tcW w:type="dxa" w:w="19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None</w:t>
            </w:r>
          </w:p>
        </w:tc>
        <w:tc>
          <w:tcPr>
            <w:tcW w:type="dxa" w:w="19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None</w:t>
            </w:r>
          </w:p>
        </w:tc>
        <w:tc>
          <w:tcPr>
            <w:tcW w:type="dxa" w:w="19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w:t>
            </w:r>
          </w:p>
        </w:tc>
        <w:tc>
          <w:tcPr>
            <w:tcW w:type="dxa" w:w="19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Read</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Audit logging: </w:t>
      </w:r>
      <w:r>
        <w:rPr>
          <w:rFonts w:ascii="Arial" w:cs="Arial" w:eastAsia="Arial" w:hAnsi="Arial"/>
          <w:color w:val="1E293B"/>
          <w:sz w:val="21"/>
          <w:szCs w:val="21"/>
        </w:rPr>
        <w:t xml:space="preserve">Aidbox implements FHIR Basic Audit Log Patterns (BALP) ensuring all authentication events, CRUD operations, and search requests are logged as AuditEvent resources. [24][6] Exportable via OpenTelemetry for centralized monitoring. [5] Best practices emphasize “tiny” policies linked to specific User, Client, or Operation resources for performance and audit transparency. [25][26]</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7.6 Analytics: SQL on FHIR v2</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FHIR’s nested JSON structure is ideal for interoperability but difficult for large-scale analytics. Traditionally this required expensive ETL processes to flatten data. [28] SQL on FHIR v2 solves this with ViewDefinition resources that use FHIRPath expressions to map nested data to flat columns. [8]</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Aidbox differentiator: </w:t>
      </w:r>
      <w:r>
        <w:rPr>
          <w:rFonts w:ascii="Arial" w:cs="Arial" w:eastAsia="Arial" w:hAnsi="Arial"/>
          <w:color w:val="1E293B"/>
          <w:sz w:val="21"/>
          <w:szCs w:val="21"/>
        </w:rPr>
        <w:t xml:space="preserve">Instead of slow in-memory processing, Aidbox converts ViewDefinition resources into native PostgreSQL views or materialized tables within a dedicated “sof” (SQL on FHIR) schema. [9] Validated as a reference implementation in a peer-reviewed study, producing identical results to Apache Spark-based runners. [28]</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co-op.care Analytics Applications</w:t>
      </w:r>
    </w:p>
    <w:p>
      <w:pPr>
        <w:pStyle w:val="ListParagraph"/>
        <w:numPr>
          <w:ilvl w:val="0"/>
          <w:numId w:val="6"/>
        </w:numPr>
        <w:spacing w:after="90" w:line="300"/>
      </w:pPr>
      <w:r>
        <w:rPr>
          <w:rFonts w:ascii="Arial" w:cs="Arial" w:eastAsia="Arial" w:hAnsi="Arial"/>
          <w:color w:val="1E293B"/>
          <w:sz w:val="21"/>
          <w:szCs w:val="21"/>
        </w:rPr>
        <w:t xml:space="preserve">ACCESS Model Outcome Attainment: Generate flat, queryable views of CRI/CII longitudinal data to prove ≥50% patients hit outcome targets</w:t>
      </w:r>
    </w:p>
    <w:p>
      <w:pPr>
        <w:pStyle w:val="ListParagraph"/>
        <w:numPr>
          <w:ilvl w:val="0"/>
          <w:numId w:val="6"/>
        </w:numPr>
        <w:spacing w:after="90" w:line="300"/>
      </w:pPr>
      <w:r>
        <w:rPr>
          <w:rFonts w:ascii="Arial" w:cs="Arial" w:eastAsia="Arial" w:hAnsi="Arial"/>
          <w:color w:val="1E293B"/>
          <w:sz w:val="21"/>
          <w:szCs w:val="21"/>
        </w:rPr>
        <w:t xml:space="preserve">Quality reporting: Automated QAPI metrics — readmission rates, caregiver turnover, satisfaction scores, Omaha System KBS trends</w:t>
      </w:r>
    </w:p>
    <w:p>
      <w:pPr>
        <w:pStyle w:val="ListParagraph"/>
        <w:numPr>
          <w:ilvl w:val="0"/>
          <w:numId w:val="6"/>
        </w:numPr>
        <w:spacing w:after="90" w:line="300"/>
      </w:pPr>
      <w:r>
        <w:rPr>
          <w:rFonts w:ascii="Arial" w:cs="Arial" w:eastAsia="Arial" w:hAnsi="Arial"/>
          <w:color w:val="1E293B"/>
          <w:sz w:val="21"/>
          <w:szCs w:val="21"/>
        </w:rPr>
        <w:t xml:space="preserve">Hospital partner reporting: Monthly dashboards for BCH showing bed-days recovered, discharge coordination efficiency, EVV compliance</w:t>
      </w:r>
    </w:p>
    <w:p>
      <w:pPr>
        <w:pStyle w:val="ListParagraph"/>
        <w:numPr>
          <w:ilvl w:val="0"/>
          <w:numId w:val="6"/>
        </w:numPr>
        <w:spacing w:after="90" w:line="300"/>
      </w:pPr>
      <w:r>
        <w:rPr>
          <w:rFonts w:ascii="Arial" w:cs="Arial" w:eastAsia="Arial" w:hAnsi="Arial"/>
          <w:color w:val="1E293B"/>
          <w:sz w:val="21"/>
          <w:szCs w:val="21"/>
        </w:rPr>
        <w:t xml:space="preserve">AI-assisted ViewDefinition generator: Non-technical analysts generate complex clinical reports using natural language prompts. [5]</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7.7 Language-Specific SDKs</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Aidbox generates project-specific SDKs based on “Type Schema” — including only the resources, profiles, and operations required for a specific project. [30] This avoids the “resource bloat” of generic FHIR SDKs that include all 150+ resource types. [30]</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640"/>
      </w:tblGrid>
      <w:tr>
        <w:tc>
          <w:tcPr>
            <w:tcW w:type="dxa" w:w="1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LANGUAGE</w:t>
            </w:r>
          </w:p>
        </w:tc>
        <w:tc>
          <w:tcPr>
            <w:tcW w:type="dxa" w:w="4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FEATURES</w:t>
            </w:r>
          </w:p>
        </w:tc>
        <w:tc>
          <w:tcPr>
            <w:tcW w:type="dxa" w:w="36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REPOSITORY</w:t>
            </w:r>
          </w:p>
        </w:tc>
      </w:tr>
      <w:tr>
        <w:tc>
          <w:tcPr>
            <w:tcW w:type="dxa" w:w="1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TypeScript</w:t>
            </w:r>
          </w:p>
        </w:tc>
        <w:tc>
          <w:tcPr>
            <w:tcW w:type="dxa" w:w="4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Static FHIR Client, type-safe resource creation, AccessPolicy testing. @fhirschema/codegen for autocompletion. [6]</w:t>
            </w:r>
          </w:p>
        </w:tc>
        <w:tc>
          <w:tcPr>
            <w:tcW w:type="dxa" w:w="36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Aidbox/aidbox-sdk-js [32]</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Python</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Async client, safe_db test fixtures with auto-rollback, Pydantic validation. Ideal for AI clinical decision support. [6][33]</w:t>
            </w:r>
          </w:p>
        </w:tc>
        <w:tc>
          <w:tcPr>
            <w:tcW w:type="dxa" w:w="36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Aidbox/aidbox-python-sdk [33]</w:t>
            </w:r>
          </w:p>
        </w:tc>
      </w:tr>
      <w:tr>
        <w:tc>
          <w:tcPr>
            <w:tcW w:type="dxa" w:w="1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C# (.NET)</w:t>
            </w:r>
          </w:p>
        </w:tc>
        <w:tc>
          <w:tcPr>
            <w:tcW w:type="dxa" w:w="4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Firely.NET SDK integration, R4 core type generation. [6]</w:t>
            </w:r>
          </w:p>
        </w:tc>
        <w:tc>
          <w:tcPr>
            <w:tcW w:type="dxa" w:w="36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Aidbox/aidbox-dotnet [32]</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Java</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Custom operations runtime, high-concurrency handling. [2]</w:t>
            </w:r>
          </w:p>
        </w:tc>
        <w:tc>
          <w:tcPr>
            <w:tcW w:type="dxa" w:w="36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Aidbox/aidbox-java [6]</w:t>
            </w:r>
          </w:p>
        </w:tc>
      </w:tr>
    </w:tbl>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7.8 FHIR Schema Engine Migration</w:t>
      </w:r>
    </w:p>
    <w:p>
      <w:pPr>
        <w:spacing w:after="80"/>
      </w:pPr>
      <w:r>
        <w:rPr>
          <w:sz w:val="8"/>
          <w:szCs w:val="8"/>
        </w:rPr>
        <w:t xml:space="preserve"/>
      </w:r>
    </w:p>
    <w:p>
      <w:pPr>
        <w:spacing w:after="140" w:line="320"/>
      </w:pPr>
      <w:r>
        <w:rPr>
          <w:rFonts w:ascii="Arial" w:cs="Arial" w:eastAsia="Arial" w:hAnsi="Arial"/>
          <w:b/>
          <w:bCs/>
          <w:color w:val="DC2626"/>
          <w:sz w:val="21"/>
          <w:szCs w:val="21"/>
        </w:rPr>
        <w:t xml:space="preserve">CRITICAL: </w:t>
      </w:r>
      <w:r>
        <w:rPr>
          <w:rFonts w:ascii="Arial" w:cs="Arial" w:eastAsia="Arial" w:hAnsi="Arial"/>
          <w:color w:val="1E293B"/>
          <w:sz w:val="21"/>
          <w:szCs w:val="21"/>
        </w:rPr>
        <w:t xml:space="preserve">Health Samurai is migrating from the legacy “Zen” and “Entity-Attribute” engines to a new FHIR Schema engine. [7] The old engines became obsolete in August 2025. [7] All co-op.care development MUST use the FHIR Schema engine:</w:t>
      </w:r>
    </w:p>
    <w:p>
      <w:pPr>
        <w:spacing w:after="80"/>
      </w:pPr>
      <w:r>
        <w:rPr>
          <w:sz w:val="8"/>
          <w:szCs w:val="8"/>
        </w:rPr>
        <w:t xml:space="preserve"/>
      </w:r>
    </w:p>
    <w:p>
      <w:pPr>
        <w:pStyle w:val="ListParagraph"/>
        <w:numPr>
          <w:ilvl w:val="0"/>
          <w:numId w:val="7"/>
        </w:numPr>
        <w:spacing w:after="90" w:line="300"/>
      </w:pPr>
      <w:r>
        <w:rPr>
          <w:rFonts w:ascii="Arial" w:cs="Arial" w:eastAsia="Arial" w:hAnsi="Arial"/>
          <w:color w:val="1E293B"/>
          <w:sz w:val="21"/>
          <w:szCs w:val="21"/>
        </w:rPr>
        <w:t xml:space="preserve">Set AIDBOX_FHIR_SCHEMA_VALIDATION=true in environment configuration</w:t>
      </w:r>
    </w:p>
    <w:p>
      <w:pPr>
        <w:pStyle w:val="ListParagraph"/>
        <w:numPr>
          <w:ilvl w:val="0"/>
          <w:numId w:val="7"/>
        </w:numPr>
        <w:spacing w:after="90" w:line="300"/>
      </w:pPr>
      <w:r>
        <w:rPr>
          <w:rFonts w:ascii="Arial" w:cs="Arial" w:eastAsia="Arial" w:hAnsi="Arial"/>
          <w:color w:val="1E293B"/>
          <w:sz w:val="21"/>
          <w:szCs w:val="21"/>
        </w:rPr>
        <w:t xml:space="preserve">Check deprecated components: GET /deprecated/capabilities endpoint [38]</w:t>
      </w:r>
    </w:p>
    <w:p>
      <w:pPr>
        <w:pStyle w:val="ListParagraph"/>
        <w:numPr>
          <w:ilvl w:val="0"/>
          <w:numId w:val="7"/>
        </w:numPr>
        <w:spacing w:after="90" w:line="300"/>
      </w:pPr>
      <w:r>
        <w:rPr>
          <w:rFonts w:ascii="Arial" w:cs="Arial" w:eastAsia="Arial" w:hAnsi="Arial"/>
          <w:color w:val="1E293B"/>
          <w:sz w:val="21"/>
          <w:szCs w:val="21"/>
        </w:rPr>
        <w:t xml:space="preserve">New engine is significantly faster with more precise validation for FHIRPath invariants and slicing. [7]</w:t>
      </w:r>
    </w:p>
    <w:p>
      <w:pPr>
        <w:pStyle w:val="ListParagraph"/>
        <w:numPr>
          <w:ilvl w:val="0"/>
          <w:numId w:val="7"/>
        </w:numPr>
        <w:spacing w:after="90" w:line="300"/>
      </w:pPr>
      <w:r>
        <w:rPr>
          <w:rFonts w:ascii="Arial" w:cs="Arial" w:eastAsia="Arial" w:hAnsi="Arial"/>
          <w:color w:val="1E293B"/>
          <w:sz w:val="21"/>
          <w:szCs w:val="21"/>
        </w:rPr>
        <w:t xml:space="preserve">JSON Schema-like representation replaces opaque StructureDefinitions. [10]</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7.9 Deployment Architecture and Cost</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Development Environment</w:t>
      </w:r>
    </w:p>
    <w:p>
      <w:pPr>
        <w:spacing w:after="140" w:line="320"/>
      </w:pPr>
      <w:r>
        <w:rPr>
          <w:rFonts w:ascii="Arial" w:cs="Arial" w:eastAsia="Arial" w:hAnsi="Arial"/>
          <w:b w:val="false"/>
          <w:bCs w:val="false"/>
          <w:i w:val="false"/>
          <w:iCs w:val="false"/>
          <w:color w:val="1E293B"/>
          <w:sz w:val="21"/>
          <w:szCs w:val="21"/>
        </w:rPr>
        <w:t xml:space="preserve">Aidbox is distributed as a lightweight Docker container. [2] Local setup requires only Docker and Docker Compose. [12] System auto-handles PostgreSQL setup; developer accesses Aidbox UI at http://localhost:8080/. [12] Free “Dev” license for testing with synthetic data. [6]</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Production Environment</w:t>
      </w:r>
    </w:p>
    <w:p>
      <w:pPr>
        <w:spacing w:after="140" w:line="320"/>
      </w:pPr>
      <w:r>
        <w:rPr>
          <w:rFonts w:ascii="Arial" w:cs="Arial" w:eastAsia="Arial" w:hAnsi="Arial"/>
          <w:b w:val="false"/>
          <w:bCs w:val="false"/>
          <w:i w:val="false"/>
          <w:iCs w:val="false"/>
          <w:color w:val="1E293B"/>
          <w:sz w:val="21"/>
          <w:szCs w:val="21"/>
        </w:rPr>
        <w:t xml:space="preserve">Configuration Project approach manages entire platform state via version-controlled files (Git-ops). [14] Kubernetes deployment via official Helm charts with ingress controllers, CloudNativePG operator for database HA, and automated backup. [15]</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40"/>
      </w:tblGrid>
      <w:t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TIER</w:t>
            </w:r>
          </w:p>
        </w:tc>
        <w:tc>
          <w:tcPr>
            <w:tcW w:type="dxa" w:w="3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COST</w:t>
            </w:r>
          </w:p>
        </w:tc>
        <w:tc>
          <w:tcPr>
            <w:tcW w:type="dxa" w:w="38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INCLUDES</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Development</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Free</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Dev license, Docker, local PostgreSQL, synthetic data. [6]</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Basic / Startup</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Included in base license</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Onboarding call, private chat, BAA-ready. [2][43]</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Professional</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~$1,900/month</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2-day response, BAA/Insurance, 12 video calls/year, HIPAA. [2][43]</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Enterprise</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Custom pricing</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24/7 phone, 1-day response, weekly architecture reviews. [2][43]</w:t>
            </w:r>
          </w:p>
        </w:tc>
      </w:tr>
    </w:tbl>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7.10 Aidbox Technical References</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[1] health-samurai.io/docs/aidbox/architecture</w:t>
      </w:r>
    </w:p>
    <w:p>
      <w:pPr>
        <w:spacing w:after="140" w:line="320"/>
      </w:pPr>
      <w:r>
        <w:rPr>
          <w:rFonts w:ascii="Arial" w:cs="Arial" w:eastAsia="Arial" w:hAnsi="Arial"/>
          <w:b w:val="false"/>
          <w:bCs w:val="false"/>
          <w:i w:val="false"/>
          <w:iCs w:val="false"/>
          <w:color w:val="1E293B"/>
          <w:sz w:val="21"/>
          <w:szCs w:val="21"/>
        </w:rPr>
        <w:t xml:space="preserve">[2] health-samurai.io/fhir-server (product overview)</w:t>
      </w:r>
    </w:p>
    <w:p>
      <w:pPr>
        <w:spacing w:after="140" w:line="320"/>
      </w:pPr>
      <w:r>
        <w:rPr>
          <w:rFonts w:ascii="Arial" w:cs="Arial" w:eastAsia="Arial" w:hAnsi="Arial"/>
          <w:b w:val="false"/>
          <w:bCs w:val="false"/>
          <w:i w:val="false"/>
          <w:iCs w:val="false"/>
          <w:color w:val="1E293B"/>
          <w:sz w:val="21"/>
          <w:szCs w:val="21"/>
        </w:rPr>
        <w:t xml:space="preserve">[4] Aidbox Deep Dive, Mindbowser (mindbowser.com/aidbox-fhir-server/)</w:t>
      </w:r>
    </w:p>
    <w:p>
      <w:pPr>
        <w:spacing w:after="140" w:line="320"/>
      </w:pPr>
      <w:r>
        <w:rPr>
          <w:rFonts w:ascii="Arial" w:cs="Arial" w:eastAsia="Arial" w:hAnsi="Arial"/>
          <w:b w:val="false"/>
          <w:bCs w:val="false"/>
          <w:i w:val="false"/>
          <w:iCs w:val="false"/>
          <w:color w:val="1E293B"/>
          <w:sz w:val="21"/>
          <w:szCs w:val="21"/>
        </w:rPr>
        <w:t xml:space="preserve">[5] health-samurai.io/docs/aidbox/features</w:t>
      </w:r>
    </w:p>
    <w:p>
      <w:pPr>
        <w:spacing w:after="140" w:line="320"/>
      </w:pPr>
      <w:r>
        <w:rPr>
          <w:rFonts w:ascii="Arial" w:cs="Arial" w:eastAsia="Arial" w:hAnsi="Arial"/>
          <w:b w:val="false"/>
          <w:bCs w:val="false"/>
          <w:i w:val="false"/>
          <w:iCs w:val="false"/>
          <w:color w:val="1E293B"/>
          <w:sz w:val="21"/>
          <w:szCs w:val="21"/>
        </w:rPr>
        <w:t xml:space="preserve">[6] health-samurai.io/docs/aidbox/overview/faq</w:t>
      </w:r>
    </w:p>
    <w:p>
      <w:pPr>
        <w:spacing w:after="140" w:line="320"/>
      </w:pPr>
      <w:r>
        <w:rPr>
          <w:rFonts w:ascii="Arial" w:cs="Arial" w:eastAsia="Arial" w:hAnsi="Arial"/>
          <w:b w:val="false"/>
          <w:bCs w:val="false"/>
          <w:i w:val="false"/>
          <w:iCs w:val="false"/>
          <w:color w:val="1E293B"/>
          <w:sz w:val="21"/>
          <w:szCs w:val="21"/>
        </w:rPr>
        <w:t xml:space="preserve">[7] health-samurai.io/docs/aidbox/overview/release-notes</w:t>
      </w:r>
    </w:p>
    <w:p>
      <w:pPr>
        <w:spacing w:after="140" w:line="320"/>
      </w:pPr>
      <w:r>
        <w:rPr>
          <w:rFonts w:ascii="Arial" w:cs="Arial" w:eastAsia="Arial" w:hAnsi="Arial"/>
          <w:b w:val="false"/>
          <w:bCs w:val="false"/>
          <w:i w:val="false"/>
          <w:iCs w:val="false"/>
          <w:color w:val="1E293B"/>
          <w:sz w:val="21"/>
          <w:szCs w:val="21"/>
        </w:rPr>
        <w:t xml:space="preserve">[8] health-samurai.io/docs/aidbox/database/overview</w:t>
      </w:r>
    </w:p>
    <w:p>
      <w:pPr>
        <w:spacing w:after="140" w:line="320"/>
      </w:pPr>
      <w:r>
        <w:rPr>
          <w:rFonts w:ascii="Arial" w:cs="Arial" w:eastAsia="Arial" w:hAnsi="Arial"/>
          <w:b w:val="false"/>
          <w:bCs w:val="false"/>
          <w:i w:val="false"/>
          <w:iCs w:val="false"/>
          <w:color w:val="1E293B"/>
          <w:sz w:val="21"/>
          <w:szCs w:val="21"/>
        </w:rPr>
        <w:t xml:space="preserve">[9] health-samurai.io/docs/aidbox/database/database-schema</w:t>
      </w:r>
    </w:p>
    <w:p>
      <w:pPr>
        <w:spacing w:after="140" w:line="320"/>
      </w:pPr>
      <w:r>
        <w:rPr>
          <w:rFonts w:ascii="Arial" w:cs="Arial" w:eastAsia="Arial" w:hAnsi="Arial"/>
          <w:b w:val="false"/>
          <w:bCs w:val="false"/>
          <w:i w:val="false"/>
          <w:iCs w:val="false"/>
          <w:color w:val="1E293B"/>
          <w:sz w:val="21"/>
          <w:szCs w:val="21"/>
        </w:rPr>
        <w:t xml:space="preserve">[10] health-samurai.io/docs/aidbox/api/api-overview</w:t>
      </w:r>
    </w:p>
    <w:p>
      <w:pPr>
        <w:spacing w:after="140" w:line="320"/>
      </w:pPr>
      <w:r>
        <w:rPr>
          <w:rFonts w:ascii="Arial" w:cs="Arial" w:eastAsia="Arial" w:hAnsi="Arial"/>
          <w:b w:val="false"/>
          <w:bCs w:val="false"/>
          <w:i w:val="false"/>
          <w:iCs w:val="false"/>
          <w:color w:val="1E293B"/>
          <w:sz w:val="21"/>
          <w:szCs w:val="21"/>
        </w:rPr>
        <w:t xml:space="preserve">[12] health-samurai.io/docs/aidbox/getting-started/run-aidbox-locally</w:t>
      </w:r>
    </w:p>
    <w:p>
      <w:pPr>
        <w:spacing w:after="140" w:line="320"/>
      </w:pPr>
      <w:r>
        <w:rPr>
          <w:rFonts w:ascii="Arial" w:cs="Arial" w:eastAsia="Arial" w:hAnsi="Arial"/>
          <w:b w:val="false"/>
          <w:bCs w:val="false"/>
          <w:i w:val="false"/>
          <w:iCs w:val="false"/>
          <w:color w:val="1E293B"/>
          <w:sz w:val="21"/>
          <w:szCs w:val="21"/>
        </w:rPr>
        <w:t xml:space="preserve">[14] health-samurai.io/.../aidbox-zen-lang-project/run-aidbox-locally</w:t>
      </w:r>
    </w:p>
    <w:p>
      <w:pPr>
        <w:spacing w:after="140" w:line="320"/>
      </w:pPr>
      <w:r>
        <w:rPr>
          <w:rFonts w:ascii="Arial" w:cs="Arial" w:eastAsia="Arial" w:hAnsi="Arial"/>
          <w:b w:val="false"/>
          <w:bCs w:val="false"/>
          <w:i w:val="false"/>
          <w:iCs w:val="false"/>
          <w:color w:val="1E293B"/>
          <w:sz w:val="21"/>
          <w:szCs w:val="21"/>
        </w:rPr>
        <w:t xml:space="preserve">[15] health-samurai.io/.../deploy-aidbox-with-helm-charts</w:t>
      </w:r>
    </w:p>
    <w:p>
      <w:pPr>
        <w:spacing w:after="140" w:line="320"/>
      </w:pPr>
      <w:r>
        <w:rPr>
          <w:rFonts w:ascii="Arial" w:cs="Arial" w:eastAsia="Arial" w:hAnsi="Arial"/>
          <w:b w:val="false"/>
          <w:bCs w:val="false"/>
          <w:i w:val="false"/>
          <w:iCs w:val="false"/>
          <w:color w:val="1E293B"/>
          <w:sz w:val="21"/>
          <w:szCs w:val="21"/>
        </w:rPr>
        <w:t xml:space="preserve">[17] health-samurai.io/docs/aidbox/modules/integration-toolkit/hl7-v2-integration</w:t>
      </w:r>
    </w:p>
    <w:p>
      <w:pPr>
        <w:spacing w:after="140" w:line="320"/>
      </w:pPr>
      <w:r>
        <w:rPr>
          <w:rFonts w:ascii="Arial" w:cs="Arial" w:eastAsia="Arial" w:hAnsi="Arial"/>
          <w:b w:val="false"/>
          <w:bCs w:val="false"/>
          <w:i w:val="false"/>
          <w:iCs w:val="false"/>
          <w:color w:val="1E293B"/>
          <w:sz w:val="21"/>
          <w:szCs w:val="21"/>
        </w:rPr>
        <w:t xml:space="preserve">[18] ofashandfire.com/blog/ehr-integration-development-guide</w:t>
      </w:r>
    </w:p>
    <w:p>
      <w:pPr>
        <w:spacing w:after="140" w:line="320"/>
      </w:pPr>
      <w:r>
        <w:rPr>
          <w:rFonts w:ascii="Arial" w:cs="Arial" w:eastAsia="Arial" w:hAnsi="Arial"/>
          <w:b w:val="false"/>
          <w:bCs w:val="false"/>
          <w:i w:val="false"/>
          <w:iCs w:val="false"/>
          <w:color w:val="1E293B"/>
          <w:sz w:val="21"/>
          <w:szCs w:val="21"/>
        </w:rPr>
        <w:t xml:space="preserve">[19] health-samurai.io/.../hl7-v2-integration-with-aidbox-project</w:t>
      </w:r>
    </w:p>
    <w:p>
      <w:pPr>
        <w:spacing w:after="140" w:line="320"/>
      </w:pPr>
      <w:r>
        <w:rPr>
          <w:rFonts w:ascii="Arial" w:cs="Arial" w:eastAsia="Arial" w:hAnsi="Arial"/>
          <w:b w:val="false"/>
          <w:bCs w:val="false"/>
          <w:i w:val="false"/>
          <w:iCs w:val="false"/>
          <w:color w:val="1E293B"/>
          <w:sz w:val="21"/>
          <w:szCs w:val="21"/>
        </w:rPr>
        <w:t xml:space="preserve">[21] capminds.com/blog/how-to-build-an-ai-agent-that-integrates-with-epic-or-cerner</w:t>
      </w:r>
    </w:p>
    <w:p>
      <w:pPr>
        <w:spacing w:after="140" w:line="320"/>
      </w:pPr>
      <w:r>
        <w:rPr>
          <w:rFonts w:ascii="Arial" w:cs="Arial" w:eastAsia="Arial" w:hAnsi="Arial"/>
          <w:b w:val="false"/>
          <w:bCs w:val="false"/>
          <w:i w:val="false"/>
          <w:iCs w:val="false"/>
          <w:color w:val="1E293B"/>
          <w:sz w:val="21"/>
          <w:szCs w:val="21"/>
        </w:rPr>
        <w:t xml:space="preserve">[22] itirra.com/blog/epic-cerner-ehr-integration-smart-on-fhir-vs-backend-systems/</w:t>
      </w:r>
    </w:p>
    <w:p>
      <w:pPr>
        <w:spacing w:after="140" w:line="320"/>
      </w:pPr>
      <w:r>
        <w:rPr>
          <w:rFonts w:ascii="Arial" w:cs="Arial" w:eastAsia="Arial" w:hAnsi="Arial"/>
          <w:b w:val="false"/>
          <w:bCs w:val="false"/>
          <w:i w:val="false"/>
          <w:iCs w:val="false"/>
          <w:color w:val="1E293B"/>
          <w:sz w:val="21"/>
          <w:szCs w:val="21"/>
        </w:rPr>
        <w:t xml:space="preserve">[24] health-samurai.io/docs/aidbox/access-control/access-control</w:t>
      </w:r>
    </w:p>
    <w:p>
      <w:pPr>
        <w:spacing w:after="140" w:line="320"/>
      </w:pPr>
      <w:r>
        <w:rPr>
          <w:rFonts w:ascii="Arial" w:cs="Arial" w:eastAsia="Arial" w:hAnsi="Arial"/>
          <w:b w:val="false"/>
          <w:bCs w:val="false"/>
          <w:i w:val="false"/>
          <w:iCs w:val="false"/>
          <w:color w:val="1E293B"/>
          <w:sz w:val="21"/>
          <w:szCs w:val="21"/>
        </w:rPr>
        <w:t xml:space="preserve">[25] health-samurai.io/docs/aidbox/access-control/authorization/access-policies</w:t>
      </w:r>
    </w:p>
    <w:p>
      <w:pPr>
        <w:spacing w:after="140" w:line="320"/>
      </w:pPr>
      <w:r>
        <w:rPr>
          <w:rFonts w:ascii="Arial" w:cs="Arial" w:eastAsia="Arial" w:hAnsi="Arial"/>
          <w:b w:val="false"/>
          <w:bCs w:val="false"/>
          <w:i w:val="false"/>
          <w:iCs w:val="false"/>
          <w:color w:val="1E293B"/>
          <w:sz w:val="21"/>
          <w:szCs w:val="21"/>
        </w:rPr>
        <w:t xml:space="preserve">[26] health-samurai.io/.../accesspolicy-best-practices</w:t>
      </w:r>
    </w:p>
    <w:p>
      <w:pPr>
        <w:spacing w:after="140" w:line="320"/>
      </w:pPr>
      <w:r>
        <w:rPr>
          <w:rFonts w:ascii="Arial" w:cs="Arial" w:eastAsia="Arial" w:hAnsi="Arial"/>
          <w:b w:val="false"/>
          <w:bCs w:val="false"/>
          <w:i w:val="false"/>
          <w:iCs w:val="false"/>
          <w:color w:val="1E293B"/>
          <w:sz w:val="21"/>
          <w:szCs w:val="21"/>
        </w:rPr>
        <w:t xml:space="preserve">[28] SQL on FHIR Validation, PMC (pmc.ncbi.nlm.nih.gov/articles/PMC12149319/)</w:t>
      </w:r>
    </w:p>
    <w:p>
      <w:pPr>
        <w:spacing w:after="140" w:line="320"/>
      </w:pPr>
      <w:r>
        <w:rPr>
          <w:rFonts w:ascii="Arial" w:cs="Arial" w:eastAsia="Arial" w:hAnsi="Arial"/>
          <w:b w:val="false"/>
          <w:bCs w:val="false"/>
          <w:i w:val="false"/>
          <w:iCs w:val="false"/>
          <w:color w:val="1E293B"/>
          <w:sz w:val="21"/>
          <w:szCs w:val="21"/>
        </w:rPr>
        <w:t xml:space="preserve">[30] health-samurai.io/docs/aidbox/developer-experience-overview</w:t>
      </w:r>
    </w:p>
    <w:p>
      <w:pPr>
        <w:spacing w:after="140" w:line="320"/>
      </w:pPr>
      <w:r>
        <w:rPr>
          <w:rFonts w:ascii="Arial" w:cs="Arial" w:eastAsia="Arial" w:hAnsi="Arial"/>
          <w:b w:val="false"/>
          <w:bCs w:val="false"/>
          <w:i w:val="false"/>
          <w:iCs w:val="false"/>
          <w:color w:val="1E293B"/>
          <w:sz w:val="21"/>
          <w:szCs w:val="21"/>
        </w:rPr>
        <w:t xml:space="preserve">[32] github.com/orgs/Aidbox/repositories</w:t>
      </w:r>
    </w:p>
    <w:p>
      <w:pPr>
        <w:spacing w:after="140" w:line="320"/>
      </w:pPr>
      <w:r>
        <w:rPr>
          <w:rFonts w:ascii="Arial" w:cs="Arial" w:eastAsia="Arial" w:hAnsi="Arial"/>
          <w:b w:val="false"/>
          <w:bCs w:val="false"/>
          <w:i w:val="false"/>
          <w:iCs w:val="false"/>
          <w:color w:val="1E293B"/>
          <w:sz w:val="21"/>
          <w:szCs w:val="21"/>
        </w:rPr>
        <w:t xml:space="preserve">[33] github.com/Aidbox/aidbox-python-sdk</w:t>
      </w:r>
    </w:p>
    <w:p>
      <w:pPr>
        <w:spacing w:after="140" w:line="320"/>
      </w:pPr>
      <w:r>
        <w:rPr>
          <w:rFonts w:ascii="Arial" w:cs="Arial" w:eastAsia="Arial" w:hAnsi="Arial"/>
          <w:b w:val="false"/>
          <w:bCs w:val="false"/>
          <w:i w:val="false"/>
          <w:iCs w:val="false"/>
          <w:color w:val="1E293B"/>
          <w:sz w:val="21"/>
          <w:szCs w:val="21"/>
        </w:rPr>
        <w:t xml:space="preserve">[38] health-samurai.io/.../migrate-to-fhirschema</w:t>
      </w:r>
    </w:p>
    <w:p>
      <w:pPr>
        <w:spacing w:after="140" w:line="320"/>
      </w:pPr>
      <w:r>
        <w:rPr>
          <w:rFonts w:ascii="Arial" w:cs="Arial" w:eastAsia="Arial" w:hAnsi="Arial"/>
          <w:b w:val="false"/>
          <w:bCs w:val="false"/>
          <w:i w:val="false"/>
          <w:iCs w:val="false"/>
          <w:color w:val="1E293B"/>
          <w:sz w:val="21"/>
          <w:szCs w:val="21"/>
        </w:rPr>
        <w:t xml:space="preserve">[43] health-samurai.io/docs/aidbox/overview/licensing-and-support</w:t>
      </w:r>
    </w:p>
    <w:p>
      <w:r>
        <w:r>
          <w:br w:type="page"/>
        </w:r>
      </w:r>
    </w:p>
    <w:p>
      <w:pPr>
        <w:pStyle w:val="Heading1"/>
        <w:spacing w:before="400" w:after="200"/>
      </w:pPr>
      <w:r>
        <w:rPr>
          <w:rFonts w:ascii="Arial" w:cs="Arial" w:eastAsia="Arial" w:hAnsi="Arial"/>
          <w:b/>
          <w:bCs/>
          <w:color w:val="1E293B"/>
          <w:sz w:val="34"/>
          <w:szCs w:val="34"/>
        </w:rPr>
        <w:t xml:space="preserve">8. Data Flow: From Voice Note to Billing Code</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This section traces a single patient encounter through the entire CareOS architecture, showing exactly how each layer contributes to the final outputs.</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4000"/>
        <w:gridCol w:w="3040"/>
      </w:tblGrid>
      <w:tr>
        <w:tc>
          <w:tcPr>
            <w:tcW w:type="dxa" w:w="7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STEP</w:t>
            </w:r>
          </w:p>
        </w:tc>
        <w:tc>
          <w:tcPr>
            <w:tcW w:type="dxa" w:w="21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SYSTEM</w:t>
            </w:r>
          </w:p>
        </w:tc>
        <w:tc>
          <w:tcPr>
            <w:tcW w:type="dxa" w:w="40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WHAT HAPPENS</w:t>
            </w:r>
          </w:p>
        </w:tc>
        <w:tc>
          <w:tcPr>
            <w:tcW w:type="dxa" w:w="30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OUTPUT</w:t>
            </w:r>
          </w:p>
        </w:tc>
      </w:tr>
      <w:tr>
        <w:tc>
          <w:tcPr>
            <w:tcW w:type="dxa" w:w="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1</w:t>
            </w:r>
          </w:p>
        </w:tc>
        <w:tc>
          <w:tcPr>
            <w:tcW w:type="dxa" w:w="21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CareOS Mobile</w:t>
            </w:r>
          </w:p>
        </w:tc>
        <w:tc>
          <w:tcPr>
            <w:tcW w:type="dxa" w:w="4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Caregiver arrives at patient home. App records GPS + timestamp for EVV. Caregiver dictates shift notes.</w:t>
            </w:r>
          </w:p>
        </w:tc>
        <w:tc>
          <w:tcPr>
            <w:tcW w:type="dxa" w:w="3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Raw text + GPS + time</w:t>
            </w:r>
          </w:p>
        </w:tc>
      </w:tr>
      <w:tr>
        <w:tc>
          <w:tcPr>
            <w:tcW w:type="dxa" w:w="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2</w:t>
            </w:r>
          </w:p>
        </w:tc>
        <w:tc>
          <w:tcPr>
            <w:tcW w:type="dxa" w:w="21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NLP Engine</w:t>
            </w:r>
          </w:p>
        </w:tc>
        <w:tc>
          <w:tcPr>
            <w:tcW w:type="dxa" w:w="40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AI extracts entities: activities, vitals, symptoms, behavioral observations, medications. Structures into JSON.</w:t>
            </w:r>
          </w:p>
        </w:tc>
        <w:tc>
          <w:tcPr>
            <w:tcW w:type="dxa" w:w="3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Structured clinical JSON</w:t>
            </w:r>
          </w:p>
        </w:tc>
      </w:tr>
      <w:tr>
        <w:tc>
          <w:tcPr>
            <w:tcW w:type="dxa" w:w="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3</w:t>
            </w:r>
          </w:p>
        </w:tc>
        <w:tc>
          <w:tcPr>
            <w:tcW w:type="dxa" w:w="21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Omaha Mapper</w:t>
            </w:r>
          </w:p>
        </w:tc>
        <w:tc>
          <w:tcPr>
            <w:tcW w:type="dxa" w:w="4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Maps entities to 42 Problem Classifications + KBS ratings. Identifies intervention targets. Assigns acuity.</w:t>
            </w:r>
          </w:p>
        </w:tc>
        <w:tc>
          <w:tcPr>
            <w:tcW w:type="dxa" w:w="3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Omaha-coded observation</w:t>
            </w:r>
          </w:p>
        </w:tc>
      </w:tr>
      <w:tr>
        <w:tc>
          <w:tcPr>
            <w:tcW w:type="dxa" w:w="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DC2626"/>
                <w:sz w:val="20"/>
                <w:szCs w:val="20"/>
              </w:rPr>
              <w:t xml:space="preserve">4</w:t>
            </w:r>
          </w:p>
        </w:tc>
        <w:tc>
          <w:tcPr>
            <w:tcW w:type="dxa" w:w="21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Human Review</w:t>
            </w:r>
          </w:p>
        </w:tc>
        <w:tc>
          <w:tcPr>
            <w:tcW w:type="dxa" w:w="40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RN or Clinical Director reviews AI output for accuracy. Corrects any errors in coding. Approves for medical record entry.</w:t>
            </w:r>
          </w:p>
        </w:tc>
        <w:tc>
          <w:tcPr>
            <w:tcW w:type="dxa" w:w="304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Clinician-verified data</w:t>
            </w:r>
          </w:p>
        </w:tc>
      </w:tr>
      <w:tr>
        <w:tc>
          <w:tcPr>
            <w:tcW w:type="dxa" w:w="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5</w:t>
            </w:r>
          </w:p>
        </w:tc>
        <w:tc>
          <w:tcPr>
            <w:tcW w:type="dxa" w:w="21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Aidbox FHIR Server</w:t>
            </w:r>
          </w:p>
        </w:tc>
        <w:tc>
          <w:tcPr>
            <w:tcW w:type="dxa" w:w="4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Verified data packaged as FHIR R4 resources: Observation, CarePlan updates, Condition. Stored with version history + audit trail.</w:t>
            </w:r>
          </w:p>
        </w:tc>
        <w:tc>
          <w:tcPr>
            <w:tcW w:type="dxa" w:w="3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FHIR R4 resources</w:t>
            </w:r>
          </w:p>
        </w:tc>
      </w:tr>
      <w:tr>
        <w:tc>
          <w:tcPr>
            <w:tcW w:type="dxa" w:w="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6</w:t>
            </w:r>
          </w:p>
        </w:tc>
        <w:tc>
          <w:tcPr>
            <w:tcW w:type="dxa" w:w="21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Billing Engine</w:t>
            </w:r>
          </w:p>
        </w:tc>
        <w:tc>
          <w:tcPr>
            <w:tcW w:type="dxa" w:w="40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Maps encounter to PIN/CHI codes (G0019/G0022/G0023/G0024). Attaches EVV data. Generates CMS-compliant claim.</w:t>
            </w:r>
          </w:p>
        </w:tc>
        <w:tc>
          <w:tcPr>
            <w:tcW w:type="dxa" w:w="3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Billing code + EVV record</w:t>
            </w:r>
          </w:p>
        </w:tc>
      </w:tr>
      <w:tr>
        <w:tc>
          <w:tcPr>
            <w:tcW w:type="dxa" w:w="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DC2626"/>
                <w:sz w:val="20"/>
                <w:szCs w:val="20"/>
              </w:rPr>
              <w:t xml:space="preserve">7</w:t>
            </w:r>
          </w:p>
        </w:tc>
        <w:tc>
          <w:tcPr>
            <w:tcW w:type="dxa" w:w="21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Physician Attestation</w:t>
            </w:r>
          </w:p>
        </w:tc>
        <w:tc>
          <w:tcPr>
            <w:tcW w:type="dxa" w:w="40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Clinical Director reviews and attests billing codes. Signs off on claim accuracy. No claim submitted without MD/DO attestation.</w:t>
            </w:r>
          </w:p>
        </w:tc>
        <w:tc>
          <w:tcPr>
            <w:tcW w:type="dxa" w:w="304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Attested Medicare claim</w:t>
            </w:r>
          </w:p>
        </w:tc>
      </w:tr>
      <w:tr>
        <w:tc>
          <w:tcPr>
            <w:tcW w:type="dxa" w:w="7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8</w:t>
            </w:r>
          </w:p>
        </w:tc>
        <w:tc>
          <w:tcPr>
            <w:tcW w:type="dxa" w:w="21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Hospital Integration</w:t>
            </w:r>
          </w:p>
        </w:tc>
        <w:tc>
          <w:tcPr>
            <w:tcW w:type="dxa" w:w="4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FHIR resources transmitted to hospital EHR (Epic/Cerner) via SMART on FHIR or HL7 v2 conversion. Discharge coordination data flows back.</w:t>
            </w:r>
          </w:p>
        </w:tc>
        <w:tc>
          <w:tcPr>
            <w:tcW w:type="dxa" w:w="3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EHR-ingested patient record</w:t>
            </w:r>
          </w:p>
        </w:tc>
      </w:tr>
    </w:tbl>
    <w:p>
      <w:pPr>
        <w:spacing w:after="80"/>
      </w:pPr>
      <w:r>
        <w:rPr>
          <w:sz w:val="8"/>
          <w:szCs w:val="8"/>
        </w:rPr>
        <w:t xml:space="preserve"/>
      </w:r>
    </w:p>
    <w:p>
      <w:pPr>
        <w:spacing w:after="140" w:line="320"/>
      </w:pPr>
      <w:r>
        <w:rPr>
          <w:rFonts w:ascii="Arial" w:cs="Arial" w:eastAsia="Arial" w:hAnsi="Arial"/>
          <w:b/>
          <w:bCs/>
          <w:color w:val="DC2626"/>
          <w:sz w:val="21"/>
          <w:szCs w:val="21"/>
        </w:rPr>
        <w:t xml:space="preserve">Red rows indicate mandatory human checkpoints.</w:t>
      </w:r>
      <w:r>
        <w:rPr>
          <w:rFonts w:ascii="Arial" w:cs="Arial" w:eastAsia="Arial" w:hAnsi="Arial"/>
          <w:color w:val="1E293B"/>
          <w:sz w:val="21"/>
          <w:szCs w:val="21"/>
        </w:rPr>
        <w:t xml:space="preserve"> No AI output reaches a patient record or billing system without human review. This is a clinical safety requirement, a billing compliance requirement, and a Colorado SB 24-205 AI governance requirement.</w:t>
      </w:r>
    </w:p>
    <w:p>
      <w:r>
        <w:r>
          <w:br w:type="page"/>
        </w:r>
      </w:r>
    </w:p>
    <w:p>
      <w:pPr>
        <w:pStyle w:val="Heading1"/>
        <w:spacing w:before="400" w:after="200"/>
      </w:pPr>
      <w:r>
        <w:rPr>
          <w:rFonts w:ascii="Arial" w:cs="Arial" w:eastAsia="Arial" w:hAnsi="Arial"/>
          <w:b/>
          <w:bCs/>
          <w:color w:val="1E293B"/>
          <w:sz w:val="34"/>
          <w:szCs w:val="34"/>
        </w:rPr>
        <w:t xml:space="preserve">9. Federal Revenue Integration</w:t>
      </w:r>
    </w:p>
    <w:p>
      <w:pPr>
        <w:pBdr>
          <w:bottom w:val="single" w:color="0D9488" w:sz="6" w:space="1"/>
        </w:pBdr>
        <w:spacing w:before="120" w:after="120"/>
      </w:pPr>
      <w:r>
        <w:rPr>
          <w:sz w:val="2"/>
          <w:szCs w:val="2"/>
        </w:rPr>
        <w:t xml:space="preserve"/>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9.1 CMS ACCESS Model (10-Year, Starting July 2026)</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ACCESS Model is a CMS innovation model for chronic care management. It pays Outcome-Aligned Payments (OAPs) of $360–$420/beneficiary/year across two tracks: Enhanced Care Key Management (eCKM) and Care Key Management (CKM).</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Payment Flow</w:t>
      </w:r>
    </w:p>
    <w:p>
      <w:pPr>
        <w:pStyle w:val="ListParagraph"/>
        <w:numPr>
          <w:ilvl w:val="0"/>
          <w:numId w:val="8"/>
        </w:numPr>
        <w:spacing w:after="90" w:line="300"/>
      </w:pPr>
      <w:r>
        <w:rPr>
          <w:rFonts w:ascii="Arial" w:cs="Arial" w:eastAsia="Arial" w:hAnsi="Arial"/>
          <w:color w:val="1E293B"/>
          <w:sz w:val="21"/>
          <w:szCs w:val="21"/>
        </w:rPr>
        <w:t xml:space="preserve">Patient aligns with ACCESS Participant (co-op.care). Baseline measures collected. 12-month care period begins. 4 tracks available.</w:t>
      </w:r>
    </w:p>
    <w:p>
      <w:pPr>
        <w:pStyle w:val="ListParagraph"/>
        <w:numPr>
          <w:ilvl w:val="0"/>
          <w:numId w:val="8"/>
        </w:numPr>
        <w:spacing w:after="90" w:line="300"/>
      </w:pPr>
      <w:r>
        <w:rPr>
          <w:rFonts w:ascii="Arial" w:cs="Arial" w:eastAsia="Arial" w:hAnsi="Arial"/>
          <w:color w:val="1E293B"/>
          <w:sz w:val="21"/>
          <w:szCs w:val="21"/>
        </w:rPr>
        <w:t xml:space="preserve">50% of annual OAP paid quarterly during the 12-month care period via G-code monthly claims. This is cash flow.</w:t>
      </w:r>
    </w:p>
    <w:p>
      <w:pPr>
        <w:pStyle w:val="ListParagraph"/>
        <w:numPr>
          <w:ilvl w:val="0"/>
          <w:numId w:val="8"/>
        </w:numPr>
        <w:spacing w:after="90" w:line="300"/>
      </w:pPr>
      <w:r>
        <w:rPr>
          <w:rFonts w:ascii="Arial" w:cs="Arial" w:eastAsia="Arial" w:hAnsi="Arial"/>
          <w:color w:val="1E293B"/>
          <w:sz w:val="21"/>
          <w:szCs w:val="21"/>
        </w:rPr>
        <w:t xml:space="preserve">50% withheld until 12-month reconciliation. Two tests determine release:</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240"/>
      </w:tblGrid>
      <w:tr>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TEST</w:t>
            </w:r>
          </w:p>
        </w:tc>
        <w:tc>
          <w:tcPr>
            <w:tcW w:type="dxa" w:w="4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THRESHOLD</w:t>
            </w:r>
          </w:p>
        </w:tc>
        <w:tc>
          <w:tcPr>
            <w:tcW w:type="dxa" w:w="32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MAX PENALTY</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Clinical Outcome</w:t>
            </w:r>
          </w:p>
        </w:tc>
        <w:tc>
          <w:tcPr>
            <w:tcW w:type="dxa" w:w="4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≥50% of patients hit outcome targets → full payment. Below 50% → proportional reduction.</w:t>
            </w:r>
          </w:p>
        </w:tc>
        <w:tc>
          <w:tcPr>
            <w:tcW w:type="dxa" w:w="32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50% of withheld amount</w:t>
            </w:r>
          </w:p>
        </w:tc>
      </w:tr>
      <w:tr>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Substitute Spend</w:t>
            </w:r>
          </w:p>
        </w:tc>
        <w:tc>
          <w:tcPr>
            <w:tcW w:type="dxa" w:w="4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≥90% patients without duplicate services → full payment. Below 90% → proportional reduction.</w:t>
            </w:r>
          </w:p>
        </w:tc>
        <w:tc>
          <w:tcPr>
            <w:tcW w:type="dxa" w:w="32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25% of withheld amount</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Only the larger adjustment applies.</w:t>
      </w:r>
      <w:r>
        <w:rPr>
          <w:rFonts w:ascii="Arial" w:cs="Arial" w:eastAsia="Arial" w:hAnsi="Arial"/>
          <w:color w:val="1E293B"/>
          <w:sz w:val="21"/>
          <w:szCs w:val="21"/>
        </w:rPr>
        <w:t xml:space="preserve"> The co-management payment of ~$100/year goes to the referring clinician (incentivizing BCH referrals). First cohort application deadline: April 1, 2026. Requires Medicare-enrolled physician.</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9.2 PIN/CHI Billing Codes</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Principal Illness Navigation (PIN) and Community Health Integration (CHI) codes enable Medicare billing for care coordination services performed under physician supervision:</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800"/>
        <w:gridCol w:w="3040"/>
      </w:tblGrid>
      <w:tr>
        <w:tc>
          <w:tcPr>
            <w:tcW w:type="dxa" w:w="1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CODE</w:t>
            </w:r>
          </w:p>
        </w:tc>
        <w:tc>
          <w:tcPr>
            <w:tcW w:type="dxa" w:w="1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TYPE</w:t>
            </w:r>
          </w:p>
        </w:tc>
        <w:tc>
          <w:tcPr>
            <w:tcW w:type="dxa" w:w="3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DESCRIPTION</w:t>
            </w:r>
          </w:p>
        </w:tc>
        <w:tc>
          <w:tcPr>
            <w:tcW w:type="dxa" w:w="30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REVENUE</w:t>
            </w:r>
          </w:p>
        </w:tc>
      </w:tr>
      <w:tr>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G0019</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CHI Initial</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First 60 min/month of community health integration</w:t>
            </w:r>
          </w:p>
        </w:tc>
        <w:tc>
          <w:tcPr>
            <w:tcW w:type="dxa" w:w="3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6A34A"/>
                <w:sz w:val="20"/>
                <w:szCs w:val="20"/>
              </w:rPr>
              <w:t xml:space="preserve">~$85/patient/month</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G0022</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CHI Additional</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Each additional 30 min/month of CHI</w:t>
            </w:r>
          </w:p>
        </w:tc>
        <w:tc>
          <w:tcPr>
            <w:tcW w:type="dxa" w:w="30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+$35/increment</w:t>
            </w:r>
          </w:p>
        </w:tc>
      </w:tr>
      <w:tr>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G0023</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PIN Initial</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First 60 min/month of illness navigation</w:t>
            </w:r>
          </w:p>
        </w:tc>
        <w:tc>
          <w:tcPr>
            <w:tcW w:type="dxa" w:w="3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6A34A"/>
                <w:sz w:val="20"/>
                <w:szCs w:val="20"/>
              </w:rPr>
              <w:t xml:space="preserve">~$100/patient/month</w:t>
            </w:r>
          </w:p>
        </w:tc>
      </w:tr>
      <w:tr>
        <w:tc>
          <w:tcPr>
            <w:tcW w:type="dxa" w:w="14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G0024</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PIN Additional</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Each additional 30 min/month of PIN</w:t>
            </w:r>
          </w:p>
        </w:tc>
        <w:tc>
          <w:tcPr>
            <w:tcW w:type="dxa" w:w="304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+$40/increment</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Combined PIN + CHI: $85–120/patient/month.</w:t>
      </w:r>
      <w:r>
        <w:rPr>
          <w:rFonts w:ascii="Arial" w:cs="Arial" w:eastAsia="Arial" w:hAnsi="Arial"/>
          <w:color w:val="1E293B"/>
          <w:sz w:val="21"/>
          <w:szCs w:val="21"/>
        </w:rPr>
        <w:t xml:space="preserve"> Requires incident-to billing supervision by Medicare-enrolled physician. All documentation must be CMS audit-compliant. CareOS generates the documentation; the Clinical Director attests it.</w:t>
      </w:r>
    </w:p>
    <w:p>
      <w:r>
        <w:r>
          <w:br w:type="page"/>
        </w:r>
      </w:r>
    </w:p>
    <w:p>
      <w:pPr>
        <w:pStyle w:val="Heading1"/>
        <w:spacing w:before="400" w:after="200"/>
      </w:pPr>
      <w:r>
        <w:rPr>
          <w:rFonts w:ascii="Arial" w:cs="Arial" w:eastAsia="Arial" w:hAnsi="Arial"/>
          <w:b/>
          <w:bCs/>
          <w:color w:val="1E293B"/>
          <w:sz w:val="34"/>
          <w:szCs w:val="34"/>
        </w:rPr>
        <w:t xml:space="preserve">10. Security, Compliance, and AI Governance</w:t>
      </w:r>
    </w:p>
    <w:p>
      <w:pPr>
        <w:pBdr>
          <w:bottom w:val="single" w:color="0D9488" w:sz="6" w:space="1"/>
        </w:pBdr>
        <w:spacing w:before="120" w:after="120"/>
      </w:pPr>
      <w:r>
        <w:rPr>
          <w:sz w:val="2"/>
          <w:szCs w:val="2"/>
        </w:rPr>
        <w:t xml:space="preserve"/>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10.1 HIPAA Compliance</w:t>
      </w:r>
    </w:p>
    <w:p>
      <w:pPr>
        <w:pStyle w:val="ListParagraph"/>
        <w:numPr>
          <w:ilvl w:val="0"/>
          <w:numId w:val="9"/>
        </w:numPr>
        <w:spacing w:after="90" w:line="300"/>
      </w:pPr>
      <w:r>
        <w:rPr>
          <w:rFonts w:ascii="Arial" w:cs="Arial" w:eastAsia="Arial" w:hAnsi="Arial"/>
          <w:color w:val="1E293B"/>
          <w:sz w:val="21"/>
          <w:szCs w:val="21"/>
        </w:rPr>
        <w:t xml:space="preserve">All ePHI encrypted in transit (TLS 1.2+) and at rest (AES-256)</w:t>
      </w:r>
    </w:p>
    <w:p>
      <w:pPr>
        <w:pStyle w:val="ListParagraph"/>
        <w:numPr>
          <w:ilvl w:val="0"/>
          <w:numId w:val="9"/>
        </w:numPr>
        <w:spacing w:after="90" w:line="300"/>
      </w:pPr>
      <w:r>
        <w:rPr>
          <w:rFonts w:ascii="Arial" w:cs="Arial" w:eastAsia="Arial" w:hAnsi="Arial"/>
          <w:color w:val="1E293B"/>
          <w:sz w:val="21"/>
          <w:szCs w:val="21"/>
        </w:rPr>
        <w:t xml:space="preserve">Role-based access control via Aidbox AccessPolicy engine (ABAC + ReBAC)</w:t>
      </w:r>
    </w:p>
    <w:p>
      <w:pPr>
        <w:pStyle w:val="ListParagraph"/>
        <w:numPr>
          <w:ilvl w:val="0"/>
          <w:numId w:val="9"/>
        </w:numPr>
        <w:spacing w:after="90" w:line="300"/>
      </w:pPr>
      <w:r>
        <w:rPr>
          <w:rFonts w:ascii="Arial" w:cs="Arial" w:eastAsia="Arial" w:hAnsi="Arial"/>
          <w:color w:val="1E293B"/>
          <w:sz w:val="21"/>
          <w:szCs w:val="21"/>
        </w:rPr>
        <w:t xml:space="preserve">FHIR BALP audit logging: every data access logged as AuditEvent resource</w:t>
      </w:r>
    </w:p>
    <w:p>
      <w:pPr>
        <w:pStyle w:val="ListParagraph"/>
        <w:numPr>
          <w:ilvl w:val="0"/>
          <w:numId w:val="9"/>
        </w:numPr>
        <w:spacing w:after="90" w:line="300"/>
      </w:pPr>
      <w:r>
        <w:rPr>
          <w:rFonts w:ascii="Arial" w:cs="Arial" w:eastAsia="Arial" w:hAnsi="Arial"/>
          <w:color w:val="1E293B"/>
          <w:sz w:val="21"/>
          <w:szCs w:val="21"/>
        </w:rPr>
        <w:t xml:space="preserve">Business Associate Agreements with all vendors (Health Samurai, Google Cloud/Firebase)</w:t>
      </w:r>
    </w:p>
    <w:p>
      <w:pPr>
        <w:pStyle w:val="ListParagraph"/>
        <w:numPr>
          <w:ilvl w:val="0"/>
          <w:numId w:val="9"/>
        </w:numPr>
        <w:spacing w:after="90" w:line="300"/>
      </w:pPr>
      <w:r>
        <w:rPr>
          <w:rFonts w:ascii="Arial" w:cs="Arial" w:eastAsia="Arial" w:hAnsi="Arial"/>
          <w:color w:val="1E293B"/>
          <w:sz w:val="21"/>
          <w:szCs w:val="21"/>
        </w:rPr>
        <w:t xml:space="preserve">Automatic session timeout, MFA, remote device wipe capability</w:t>
      </w:r>
    </w:p>
    <w:p>
      <w:pPr>
        <w:pStyle w:val="ListParagraph"/>
        <w:numPr>
          <w:ilvl w:val="0"/>
          <w:numId w:val="9"/>
        </w:numPr>
        <w:spacing w:after="90" w:line="300"/>
      </w:pPr>
      <w:r>
        <w:rPr>
          <w:rFonts w:ascii="Arial" w:cs="Arial" w:eastAsia="Arial" w:hAnsi="Arial"/>
          <w:color w:val="1E293B"/>
          <w:sz w:val="21"/>
          <w:szCs w:val="21"/>
        </w:rPr>
        <w:t xml:space="preserve">Annual security risk assessments per HIPAA Security Rule</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10.2 Colorado SB 24-205 (AI Act) Compliance</w:t>
      </w:r>
    </w:p>
    <w:p>
      <w:pPr>
        <w:spacing w:after="140" w:line="320"/>
      </w:pPr>
      <w:r>
        <w:rPr>
          <w:rFonts w:ascii="Arial" w:cs="Arial" w:eastAsia="Arial" w:hAnsi="Arial"/>
          <w:b w:val="false"/>
          <w:bCs w:val="false"/>
          <w:i w:val="false"/>
          <w:iCs w:val="false"/>
          <w:color w:val="1E293B"/>
          <w:sz w:val="21"/>
          <w:szCs w:val="21"/>
        </w:rPr>
        <w:t xml:space="preserve">Colorado’s AI Act requires human oversight, bias testing, and transparency for AI systems involved in “consequential decisions.” Because the CII and CRI influence care matching, dispatch, and emergency respite, they qualify. Our 4-layer architecture satisfies SB 24-205 by design:</w:t>
      </w:r>
    </w:p>
    <w:p>
      <w:pPr>
        <w:pStyle w:val="ListParagraph"/>
        <w:numPr>
          <w:ilvl w:val="0"/>
          <w:numId w:val="10"/>
        </w:numPr>
        <w:spacing w:after="90" w:line="300"/>
      </w:pPr>
      <w:r>
        <w:rPr>
          <w:rFonts w:ascii="Arial" w:cs="Arial" w:eastAsia="Arial" w:hAnsi="Arial"/>
          <w:color w:val="1E293B"/>
          <w:sz w:val="21"/>
          <w:szCs w:val="21"/>
        </w:rPr>
        <w:t xml:space="preserve">AI does not make autonomous clinical decisions — it processes and structures data</w:t>
      </w:r>
    </w:p>
    <w:p>
      <w:pPr>
        <w:pStyle w:val="ListParagraph"/>
        <w:numPr>
          <w:ilvl w:val="0"/>
          <w:numId w:val="10"/>
        </w:numPr>
        <w:spacing w:after="90" w:line="300"/>
      </w:pPr>
      <w:r>
        <w:rPr>
          <w:rFonts w:ascii="Arial" w:cs="Arial" w:eastAsia="Arial" w:hAnsi="Arial"/>
          <w:color w:val="1E293B"/>
          <w:sz w:val="21"/>
          <w:szCs w:val="21"/>
        </w:rPr>
        <w:t xml:space="preserve">Human clinician reviews every AI output before medical record entry</w:t>
      </w:r>
    </w:p>
    <w:p>
      <w:pPr>
        <w:pStyle w:val="ListParagraph"/>
        <w:numPr>
          <w:ilvl w:val="0"/>
          <w:numId w:val="10"/>
        </w:numPr>
        <w:spacing w:after="90" w:line="300"/>
      </w:pPr>
      <w:r>
        <w:rPr>
          <w:rFonts w:ascii="Arial" w:cs="Arial" w:eastAsia="Arial" w:hAnsi="Arial"/>
          <w:color w:val="1E293B"/>
          <w:sz w:val="21"/>
          <w:szCs w:val="21"/>
        </w:rPr>
        <w:t xml:space="preserve">Physician attests all billing codes</w:t>
      </w:r>
    </w:p>
    <w:p>
      <w:pPr>
        <w:pStyle w:val="ListParagraph"/>
        <w:numPr>
          <w:ilvl w:val="0"/>
          <w:numId w:val="10"/>
        </w:numPr>
        <w:spacing w:after="90" w:line="300"/>
      </w:pPr>
      <w:r>
        <w:rPr>
          <w:rFonts w:ascii="Arial" w:cs="Arial" w:eastAsia="Arial" w:hAnsi="Arial"/>
          <w:color w:val="1E293B"/>
          <w:sz w:val="21"/>
          <w:szCs w:val="21"/>
        </w:rPr>
        <w:t xml:space="preserve">Bias testing on Omaha System mapping models with demographic stratification</w:t>
      </w:r>
    </w:p>
    <w:p>
      <w:pPr>
        <w:pStyle w:val="ListParagraph"/>
        <w:numPr>
          <w:ilvl w:val="0"/>
          <w:numId w:val="10"/>
        </w:numPr>
        <w:spacing w:after="90" w:line="300"/>
      </w:pPr>
      <w:r>
        <w:rPr>
          <w:rFonts w:ascii="Arial" w:cs="Arial" w:eastAsia="Arial" w:hAnsi="Arial"/>
          <w:color w:val="1E293B"/>
          <w:sz w:val="21"/>
          <w:szCs w:val="21"/>
        </w:rPr>
        <w:t xml:space="preserve">Transparency: families are informed that AI assists documentation, not decision-making</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10.3 CDPHE Home Care Agency License</w:t>
      </w:r>
    </w:p>
    <w:p>
      <w:pPr>
        <w:spacing w:after="140" w:line="320"/>
      </w:pPr>
      <w:r>
        <w:rPr>
          <w:rFonts w:ascii="Arial" w:cs="Arial" w:eastAsia="Arial" w:hAnsi="Arial"/>
          <w:b w:val="false"/>
          <w:bCs w:val="false"/>
          <w:i w:val="false"/>
          <w:iCs w:val="false"/>
          <w:color w:val="1E293B"/>
          <w:sz w:val="21"/>
          <w:szCs w:val="21"/>
        </w:rPr>
        <w:t xml:space="preserve">co-op.care operates under a Colorado CDPHE Class A Home Care Agency license (6 CCR 1011-1, Chapter 26). Requirements satisfied by the architecture:</w:t>
      </w:r>
    </w:p>
    <w:p>
      <w:pPr>
        <w:pStyle w:val="ListParagraph"/>
        <w:numPr>
          <w:ilvl w:val="0"/>
          <w:numId w:val="11"/>
        </w:numPr>
        <w:spacing w:after="90" w:line="300"/>
      </w:pPr>
      <w:r>
        <w:rPr>
          <w:rFonts w:ascii="Arial" w:cs="Arial" w:eastAsia="Arial" w:hAnsi="Arial"/>
          <w:color w:val="1E293B"/>
          <w:sz w:val="21"/>
          <w:szCs w:val="21"/>
        </w:rPr>
        <w:t xml:space="preserve">Medical Director (MD/DO): Layer 4 physician oversight</w:t>
      </w:r>
    </w:p>
    <w:p>
      <w:pPr>
        <w:pStyle w:val="ListParagraph"/>
        <w:numPr>
          <w:ilvl w:val="0"/>
          <w:numId w:val="11"/>
        </w:numPr>
        <w:spacing w:after="90" w:line="300"/>
      </w:pPr>
      <w:r>
        <w:rPr>
          <w:rFonts w:ascii="Arial" w:cs="Arial" w:eastAsia="Arial" w:hAnsi="Arial"/>
          <w:color w:val="1E293B"/>
          <w:sz w:val="21"/>
          <w:szCs w:val="21"/>
        </w:rPr>
        <w:t xml:space="preserve">Director of Nursing (RN): clinical supervision of care delivery</w:t>
      </w:r>
    </w:p>
    <w:p>
      <w:pPr>
        <w:pStyle w:val="ListParagraph"/>
        <w:numPr>
          <w:ilvl w:val="0"/>
          <w:numId w:val="11"/>
        </w:numPr>
        <w:spacing w:after="90" w:line="300"/>
      </w:pPr>
      <w:r>
        <w:rPr>
          <w:rFonts w:ascii="Arial" w:cs="Arial" w:eastAsia="Arial" w:hAnsi="Arial"/>
          <w:color w:val="1E293B"/>
          <w:sz w:val="21"/>
          <w:szCs w:val="21"/>
        </w:rPr>
        <w:t xml:space="preserve">Policies &amp; Procedures manual: 12-section comprehensive manual prepared</w:t>
      </w:r>
    </w:p>
    <w:p>
      <w:pPr>
        <w:pStyle w:val="ListParagraph"/>
        <w:numPr>
          <w:ilvl w:val="0"/>
          <w:numId w:val="11"/>
        </w:numPr>
        <w:spacing w:after="90" w:line="300"/>
      </w:pPr>
      <w:r>
        <w:rPr>
          <w:rFonts w:ascii="Arial" w:cs="Arial" w:eastAsia="Arial" w:hAnsi="Arial"/>
          <w:color w:val="1E293B"/>
          <w:sz w:val="21"/>
          <w:szCs w:val="21"/>
        </w:rPr>
        <w:t xml:space="preserve">Background checks: CBI/FBI for all staff, OIG monthly verification</w:t>
      </w:r>
    </w:p>
    <w:p>
      <w:pPr>
        <w:pStyle w:val="ListParagraph"/>
        <w:numPr>
          <w:ilvl w:val="0"/>
          <w:numId w:val="11"/>
        </w:numPr>
        <w:spacing w:after="90" w:line="300"/>
      </w:pPr>
      <w:r>
        <w:rPr>
          <w:rFonts w:ascii="Arial" w:cs="Arial" w:eastAsia="Arial" w:hAnsi="Arial"/>
          <w:color w:val="1E293B"/>
          <w:sz w:val="21"/>
          <w:szCs w:val="21"/>
        </w:rPr>
        <w:t xml:space="preserve">Incident reporting: structured through CareOS platform</w:t>
      </w:r>
    </w:p>
    <w:p>
      <w:pPr>
        <w:pStyle w:val="ListParagraph"/>
        <w:numPr>
          <w:ilvl w:val="0"/>
          <w:numId w:val="11"/>
        </w:numPr>
        <w:spacing w:after="90" w:line="300"/>
      </w:pPr>
      <w:r>
        <w:rPr>
          <w:rFonts w:ascii="Arial" w:cs="Arial" w:eastAsia="Arial" w:hAnsi="Arial"/>
          <w:color w:val="1E293B"/>
          <w:sz w:val="21"/>
          <w:szCs w:val="21"/>
        </w:rPr>
        <w:t xml:space="preserve">Quality Assurance / Performance Improvement: CareOS analytics + SQL on FHIR reporting</w:t>
      </w:r>
    </w:p>
    <w:p>
      <w:r>
        <w:r>
          <w:br w:type="page"/>
        </w:r>
      </w:r>
    </w:p>
    <w:p>
      <w:pPr>
        <w:pStyle w:val="Heading1"/>
        <w:spacing w:before="400" w:after="200"/>
      </w:pPr>
      <w:r>
        <w:rPr>
          <w:rFonts w:ascii="Arial" w:cs="Arial" w:eastAsia="Arial" w:hAnsi="Arial"/>
          <w:b/>
          <w:bCs/>
          <w:color w:val="1E293B"/>
          <w:sz w:val="34"/>
          <w:szCs w:val="34"/>
        </w:rPr>
        <w:t xml:space="preserve">11. Technology Stack Summary</w:t>
      </w:r>
    </w:p>
    <w:p>
      <w:pPr>
        <w:pBdr>
          <w:bottom w:val="single" w:color="0D9488" w:sz="6" w:space="1"/>
        </w:pBdr>
        <w:spacing w:before="120" w:after="120"/>
      </w:pPr>
      <w:r>
        <w:rPr>
          <w:sz w:val="2"/>
          <w:szCs w:val="2"/>
        </w:rPr>
        <w:t xml:space="preserve"/>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040"/>
      </w:tblGrid>
      <w:tr>
        <w:tc>
          <w:tcPr>
            <w:tcW w:type="dxa" w:w="2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LAYER</w:t>
            </w:r>
          </w:p>
        </w:tc>
        <w:tc>
          <w:tcPr>
            <w:tcW w:type="dxa" w:w="30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TECHNOLOGY</w:t>
            </w:r>
          </w:p>
        </w:tc>
        <w:tc>
          <w:tcPr>
            <w:tcW w:type="dxa" w:w="40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Frontend (Web)</w:t>
            </w:r>
          </w:p>
        </w:tc>
        <w:tc>
          <w:tcPr>
            <w:tcW w:type="dxa" w:w="3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React / Next.js</w:t>
            </w:r>
          </w:p>
        </w:tc>
        <w:tc>
          <w:tcPr>
            <w:tcW w:type="dxa" w:w="4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Family portal, caregiver portal, admin dashboard</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Frontend (Mobile)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React Native or PWA</w:t>
            </w:r>
          </w:p>
        </w:tc>
        <w:tc>
          <w:tcPr>
            <w:tcW w:type="dxa" w:w="40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Caregiver shift notes, EVV, voice capture</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Backend API</w:t>
            </w:r>
          </w:p>
        </w:tc>
        <w:tc>
          <w:tcPr>
            <w:tcW w:type="dxa" w:w="3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Node.js / Cloud Functions</w:t>
            </w:r>
          </w:p>
        </w:tc>
        <w:tc>
          <w:tcPr>
            <w:tcW w:type="dxa" w:w="4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Business logic, matching engine, scheduling</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Database (Clinical)</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Health Samurai Aidbox</w:t>
            </w:r>
          </w:p>
        </w:tc>
        <w:tc>
          <w:tcPr>
            <w:tcW w:type="dxa" w:w="40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FHIR R4 native storage, audit logging, search</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Database (Operational)</w:t>
            </w:r>
          </w:p>
        </w:tc>
        <w:tc>
          <w:tcPr>
            <w:tcW w:type="dxa" w:w="3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Google Firestore</w:t>
            </w:r>
          </w:p>
        </w:tc>
        <w:tc>
          <w:tcPr>
            <w:tcW w:type="dxa" w:w="4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Users, scheduling, Time Bank, cooperative governance</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NLP Engine</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GPT-4o-mini (RAG)</w:t>
            </w:r>
          </w:p>
        </w:tc>
        <w:tc>
          <w:tcPr>
            <w:tcW w:type="dxa" w:w="40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Caregiver note parsing, Omaha System mapping</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Clinical Taxonomy</w:t>
            </w:r>
          </w:p>
        </w:tc>
        <w:tc>
          <w:tcPr>
            <w:tcW w:type="dxa" w:w="3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Omaha System (public domain)</w:t>
            </w:r>
          </w:p>
        </w:tc>
        <w:tc>
          <w:tcPr>
            <w:tcW w:type="dxa" w:w="4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42 problems, 75 targets, KBS ratings 1–5</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Interoperability</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FHIR R4 via Aidbox</w:t>
            </w:r>
          </w:p>
        </w:tc>
        <w:tc>
          <w:tcPr>
            <w:tcW w:type="dxa" w:w="40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Epic/Cerner data exchange, hospital integration</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Legacy Integration</w:t>
            </w:r>
          </w:p>
        </w:tc>
        <w:tc>
          <w:tcPr>
            <w:tcW w:type="dxa" w:w="3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Aidbox HL7 v2 pipeline</w:t>
            </w:r>
          </w:p>
        </w:tc>
        <w:tc>
          <w:tcPr>
            <w:tcW w:type="dxa" w:w="4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Hospital ADT feeds, discharge notifications</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EVV</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GPS + timestamp (CareOS app)</w:t>
            </w:r>
          </w:p>
        </w:tc>
        <w:tc>
          <w:tcPr>
            <w:tcW w:type="dxa" w:w="40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21st Century Cures Act compliance</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Auth</w:t>
            </w:r>
          </w:p>
        </w:tc>
        <w:tc>
          <w:tcPr>
            <w:tcW w:type="dxa" w:w="3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Firebase Auth + Aidbox RBAC</w:t>
            </w:r>
          </w:p>
        </w:tc>
        <w:tc>
          <w:tcPr>
            <w:tcW w:type="dxa" w:w="4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User authentication, role-based access control</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Hosting</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Google Cloud Platform</w:t>
            </w:r>
          </w:p>
        </w:tc>
        <w:tc>
          <w:tcPr>
            <w:tcW w:type="dxa" w:w="40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Compute, storage, CDN, HIPAA BAA</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CI/CD</w:t>
            </w:r>
          </w:p>
        </w:tc>
        <w:tc>
          <w:tcPr>
            <w:tcW w:type="dxa" w:w="3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GitHub Actions</w:t>
            </w:r>
          </w:p>
        </w:tc>
        <w:tc>
          <w:tcPr>
            <w:tcW w:type="dxa" w:w="4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Automated testing, deployment, security scanning</w:t>
            </w:r>
          </w:p>
        </w:tc>
      </w:tr>
      <w:t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Analytics</w:t>
            </w:r>
          </w:p>
        </w:tc>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0D9488"/>
                <w:sz w:val="20"/>
                <w:szCs w:val="20"/>
              </w:rPr>
              <w:t xml:space="preserve">SQL on FHIR v2 (Aidbox)</w:t>
            </w:r>
          </w:p>
        </w:tc>
        <w:tc>
          <w:tcPr>
            <w:tcW w:type="dxa" w:w="404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Quality reporting, ACCESS Model outcome measurement</w:t>
            </w:r>
          </w:p>
        </w:tc>
      </w:tr>
    </w:tbl>
    <w:p>
      <w:r>
        <w:r>
          <w:br w:type="page"/>
        </w:r>
      </w:r>
    </w:p>
    <w:p>
      <w:pPr>
        <w:pStyle w:val="Heading1"/>
        <w:spacing w:before="400" w:after="200"/>
      </w:pPr>
      <w:r>
        <w:rPr>
          <w:rFonts w:ascii="Arial" w:cs="Arial" w:eastAsia="Arial" w:hAnsi="Arial"/>
          <w:b/>
          <w:bCs/>
          <w:color w:val="1E293B"/>
          <w:sz w:val="34"/>
          <w:szCs w:val="34"/>
        </w:rPr>
        <w:t xml:space="preserve">12. Deployment Roadmap</w:t>
      </w:r>
    </w:p>
    <w:p>
      <w:pPr>
        <w:pBdr>
          <w:bottom w:val="single" w:color="0D9488" w:sz="6" w:space="1"/>
        </w:pBdr>
        <w:spacing w:before="120" w:after="120"/>
      </w:pPr>
      <w:r>
        <w:rPr>
          <w:sz w:val="2"/>
          <w:szCs w:val="2"/>
        </w:rPr>
        <w:t xml:space="preserve"/>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2040"/>
      </w:tblGrid>
      <w:tr>
        <w:tc>
          <w:tcPr>
            <w:tcW w:type="dxa" w:w="1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PHASE</w:t>
            </w:r>
          </w:p>
        </w:tc>
        <w:tc>
          <w:tcPr>
            <w:tcW w:type="dxa" w:w="3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DELIVERABLES</w:t>
            </w:r>
          </w:p>
        </w:tc>
        <w:tc>
          <w:tcPr>
            <w:tcW w:type="dxa" w:w="2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TIMELINE</w:t>
            </w:r>
          </w:p>
        </w:tc>
        <w:tc>
          <w:tcPr>
            <w:tcW w:type="dxa" w:w="20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STATUS</w:t>
            </w:r>
          </w:p>
        </w:tc>
      </w:tr>
      <w:tr>
        <w:tc>
          <w:tcPr>
            <w:tcW w:type="dxa" w:w="1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Design</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CII/CRI assessment specs, CareOS architecture, Aidbox selection, Omaha System mapping pipeline design</w:t>
            </w:r>
          </w:p>
        </w:tc>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Oct 2025 – Feb 2026</w:t>
            </w:r>
          </w:p>
        </w:tc>
        <w:tc>
          <w:tcPr>
            <w:tcW w:type="dxa" w:w="2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COMPLETE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Prototype</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CII assessment (React), CRI assessment (React), website, marketing collateral, gem system</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Jan – Feb 2026</w:t>
            </w:r>
          </w:p>
        </w:tc>
        <w:tc>
          <w:tcPr>
            <w:tcW w:type="dxa" w:w="2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COMPLETE</w:t>
            </w:r>
          </w:p>
        </w:tc>
      </w:tr>
      <w:tr>
        <w:tc>
          <w:tcPr>
            <w:tcW w:type="dxa" w:w="1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Foundation</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LLC filed, EIN, bank account, RMEOC intake, physician recruitment, CDPHE P&amp;P manual</w:t>
            </w:r>
          </w:p>
        </w:tc>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Feb – Mar 2026</w:t>
            </w:r>
          </w:p>
        </w:tc>
        <w:tc>
          <w:tcPr>
            <w:tcW w:type="dxa" w:w="2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D97706"/>
                <w:sz w:val="20"/>
                <w:szCs w:val="20"/>
              </w:rPr>
              <w:t xml:space="preserve">IN PROGRESS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MVP Build</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CareOS platform: Firebase backend, Aidbox FHIR server, NLP pipeline, matching engine, scheduling, EVV</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Mar – May 2026</w:t>
            </w:r>
          </w:p>
        </w:tc>
        <w:tc>
          <w:tcPr>
            <w:tcW w:type="dxa" w:w="2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NEXT</w:t>
            </w:r>
          </w:p>
        </w:tc>
      </w:tr>
      <w:tr>
        <w:tc>
          <w:tcPr>
            <w:tcW w:type="dxa" w:w="1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Licensing</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CDPHE Class A application, Medicare Part B enrollment (CMS-855B), Group NPI, ACCESS Model application</w:t>
            </w:r>
          </w:p>
        </w:tc>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Mar – Jul 2026</w:t>
            </w:r>
          </w:p>
        </w:tc>
        <w:tc>
          <w:tcPr>
            <w:tcW w:type="dxa" w:w="2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DC2626"/>
                <w:sz w:val="20"/>
                <w:szCs w:val="20"/>
              </w:rPr>
              <w:t xml:space="preserve">BLOCKED (physician)</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Pilot</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First CII/CRI assessments (private pay), BCH discharge pilot (5–10 patients/month), first caregiver hires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May – Jul 2026</w:t>
            </w:r>
          </w:p>
        </w:tc>
        <w:tc>
          <w:tcPr>
            <w:tcW w:type="dxa" w:w="20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64748B"/>
                <w:sz w:val="20"/>
                <w:szCs w:val="20"/>
              </w:rPr>
              <w:t xml:space="preserve">PLANNED</w:t>
            </w:r>
          </w:p>
        </w:tc>
      </w:tr>
      <w:tr>
        <w:tc>
          <w:tcPr>
            <w:tcW w:type="dxa" w:w="1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Scale</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ACCESS Model launch (Jul 2026), BVSD employer pilot, PIN/CHI billing live, Time Bank activation</w:t>
            </w:r>
          </w:p>
        </w:tc>
        <w:tc>
          <w:tcPr>
            <w:tcW w:type="dxa" w:w="2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Jul – Dec 2026</w:t>
            </w:r>
          </w:p>
        </w:tc>
        <w:tc>
          <w:tcPr>
            <w:tcW w:type="dxa" w:w="20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64748B"/>
                <w:sz w:val="20"/>
                <w:szCs w:val="20"/>
              </w:rPr>
              <w:t xml:space="preserve">PLANNED</w:t>
            </w:r>
          </w:p>
        </w:tc>
      </w:tr>
    </w:tbl>
    <w:p>
      <w:pPr>
        <w:spacing w:after="80"/>
      </w:pPr>
      <w:r>
        <w:rPr>
          <w:sz w:val="8"/>
          <w:szCs w:val="8"/>
        </w:rPr>
        <w:t xml:space="preserve"/>
      </w:r>
    </w:p>
    <w:p>
      <w:pPr>
        <w:spacing w:after="80"/>
      </w:pPr>
      <w:r>
        <w:rPr>
          <w:sz w:val="8"/>
          <w:szCs w:val="8"/>
        </w:rPr>
        <w:t xml:space="preserve"/>
      </w:r>
    </w:p>
    <w:p>
      <w:pPr>
        <w:pBdr>
          <w:bottom w:val="single" w:color="0D9488" w:sz="6" w:space="1"/>
        </w:pBdr>
        <w:spacing w:before="120" w:after="120"/>
      </w:pPr>
      <w:r>
        <w:rPr>
          <w:sz w:val="2"/>
          <w:szCs w:val="2"/>
        </w:rPr>
        <w:t xml:space="preserve"/>
      </w:r>
    </w:p>
    <w:p>
      <w:r>
        <w:r>
          <w:br w:type="page"/>
        </w:r>
      </w:r>
    </w:p>
    <w:p>
      <w:pPr>
        <w:pStyle w:val="Heading1"/>
        <w:spacing w:before="400" w:after="200"/>
      </w:pPr>
      <w:r>
        <w:rPr>
          <w:rFonts w:ascii="Arial" w:cs="Arial" w:eastAsia="Arial" w:hAnsi="Arial"/>
          <w:b/>
          <w:bCs/>
          <w:color w:val="1E293B"/>
          <w:sz w:val="34"/>
          <w:szCs w:val="34"/>
        </w:rPr>
        <w:t xml:space="preserve">13. Federated Cooperative Architecture</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technology described in Sections 1–12 answers what co-op.care builds. This section answers how it is owned, governed, and defended against extraction. The organizational architecture is as deliberately engineered as the software architecture, because without structural protection, every cooperative eventually faces pressure to become an extractive corporation.</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13.1 The Scaling Paradox</w:t>
      </w:r>
    </w:p>
    <w:p>
      <w:pPr>
        <w:spacing w:after="140" w:line="320"/>
      </w:pPr>
      <w:r>
        <w:rPr>
          <w:rFonts w:ascii="Arial" w:cs="Arial" w:eastAsia="Arial" w:hAnsi="Arial"/>
          <w:b w:val="false"/>
          <w:bCs w:val="false"/>
          <w:i w:val="false"/>
          <w:iCs w:val="false"/>
          <w:color w:val="1E293B"/>
          <w:sz w:val="21"/>
          <w:szCs w:val="21"/>
        </w:rPr>
        <w:t xml:space="preserve">Cooperatives face a fundamental tension: as they grow, the democratic processes that ensure worker sovereignty become cumbersome, leading to either administrative collapse or a shift toward traditional hierarchy. The Mondragon Corporation of Spain — 95 cooperatives, 70,000+ worker-owners, €11B+ revenue — solved this by creating an “inverted conglomerate”: individual firms remain small and manageable, but are supported by specialized service entities that provide shared technology, training, and capital.</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co-op.care applies this exact pattern </w:t>
      </w:r>
      <w:r>
        <w:rPr>
          <w:rFonts w:ascii="Arial" w:cs="Arial" w:eastAsia="Arial" w:hAnsi="Arial"/>
          <w:color w:val="1E293B"/>
          <w:sz w:val="21"/>
          <w:szCs w:val="21"/>
        </w:rPr>
        <w:t xml:space="preserve">through a three-layer federation that separates technological risk from clinical labor. The Mondragon principle of “Sovereignty of Labor” — where capital is subordinate to work — is embedded in every structural decision.</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13.2 The Three-Layer Federation: Hard Shell / Soft Center</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2440"/>
      </w:tblGrid>
      <w:tr>
        <w:tc>
          <w:tcPr>
            <w:tcW w:type="dxa" w:w="1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LAYER</w:t>
            </w:r>
          </w:p>
        </w:tc>
        <w:tc>
          <w:tcPr>
            <w:tcW w:type="dxa" w:w="2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ENTITY</w:t>
            </w:r>
          </w:p>
        </w:tc>
        <w:tc>
          <w:tcPr>
            <w:tcW w:type="dxa" w:w="30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OWNS / CONTROLS</w:t>
            </w:r>
          </w:p>
        </w:tc>
        <w:tc>
          <w:tcPr>
            <w:tcW w:type="dxa" w:w="24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CARRIES RISK OF</w:t>
            </w:r>
          </w:p>
        </w:tc>
      </w:tr>
      <w:tr>
        <w:tc>
          <w:tcPr>
            <w:tcW w:type="dxa" w:w="1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0D9488"/>
                <w:sz w:val="20"/>
                <w:szCs w:val="20"/>
              </w:rPr>
              <w:t xml:space="preserve">Layer 1</w:t>
            </w:r>
          </w:p>
        </w:tc>
        <w:tc>
          <w:tcPr>
            <w:tcW w:type="dxa" w:w="2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20"/>
            </w:pPr>
            <w:r>
              <w:rPr>
                <w:rFonts w:ascii="Arial" w:cs="Arial" w:eastAsia="Arial" w:hAnsi="Arial"/>
                <w:b/>
                <w:bCs/>
                <w:color w:val="1E293B"/>
                <w:sz w:val="20"/>
                <w:szCs w:val="20"/>
              </w:rPr>
              <w:t xml:space="preserve">co-op.care Technologies LLC</w:t>
            </w:r>
          </w:p>
          <w:p>
            <w:pPr>
              <w:spacing w:after="20"/>
            </w:pPr>
            <w:r>
              <w:rPr>
                <w:rFonts w:ascii="Arial" w:cs="Arial" w:eastAsia="Arial" w:hAnsi="Arial"/>
                <w:i/>
                <w:iCs/>
                <w:color w:val="64748B"/>
                <w:sz w:val="18"/>
                <w:szCs w:val="18"/>
              </w:rPr>
              <w:t xml:space="preserve">(The Hard Shell)</w:t>
            </w:r>
          </w:p>
        </w:tc>
        <w:tc>
          <w:tcPr>
            <w:tcW w:type="dxa" w:w="30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color w:val="1E293B"/>
                <w:sz w:val="19"/>
                <w:szCs w:val="19"/>
              </w:rPr>
              <w:t xml:space="preserve">CareOS platform, FHIR infrastructure, Aidbox server, NLP pipeline, IP, national payer contracts, brand identity</w:t>
            </w:r>
          </w:p>
        </w:tc>
        <w:tc>
          <w:tcPr>
            <w:tcW w:type="dxa" w:w="24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color w:val="1E293B"/>
                <w:sz w:val="19"/>
                <w:szCs w:val="19"/>
              </w:rPr>
              <w:t xml:space="preserve">Software development, cybersecurity, regulatory compliance, AI liability, platform uptime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Layer 2</w:t>
            </w:r>
          </w:p>
        </w:tc>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20"/>
            </w:pPr>
            <w:r>
              <w:rPr>
                <w:rFonts w:ascii="Arial" w:cs="Arial" w:eastAsia="Arial" w:hAnsi="Arial"/>
                <w:b/>
                <w:bCs/>
                <w:color w:val="1E293B"/>
                <w:sz w:val="20"/>
                <w:szCs w:val="20"/>
              </w:rPr>
              <w:t xml:space="preserve">Local Cooperative</w:t>
            </w:r>
          </w:p>
          <w:p>
            <w:pPr>
              <w:spacing w:after="20"/>
            </w:pPr>
            <w:r>
              <w:rPr>
                <w:rFonts w:ascii="Arial" w:cs="Arial" w:eastAsia="Arial" w:hAnsi="Arial"/>
                <w:i/>
                <w:iCs/>
                <w:color w:val="64748B"/>
                <w:sz w:val="18"/>
                <w:szCs w:val="18"/>
              </w:rPr>
              <w:t xml:space="preserve">(The Soft Center)</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color w:val="1E293B"/>
                <w:sz w:val="19"/>
                <w:szCs w:val="19"/>
              </w:rPr>
              <w:t xml:space="preserve">Clinical operations, W-2 employment, local culture, hiring, caregiver equity, patient relationships</w:t>
            </w:r>
          </w:p>
        </w:tc>
        <w:tc>
          <w:tcPr>
            <w:tcW w:type="dxa" w:w="24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color w:val="1E293B"/>
                <w:sz w:val="19"/>
                <w:szCs w:val="19"/>
              </w:rPr>
              <w:t xml:space="preserve">Clinical liability, employment law, local licensure (CDPHE), quality standards, patient safety</w:t>
            </w:r>
          </w:p>
        </w:tc>
      </w:tr>
      <w:tr>
        <w:tc>
          <w:tcPr>
            <w:tcW w:type="dxa" w:w="18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b/>
                <w:bCs/>
                <w:i w:val="false"/>
                <w:iCs w:val="false"/>
                <w:color w:val="D97706"/>
                <w:sz w:val="20"/>
                <w:szCs w:val="20"/>
              </w:rPr>
              <w:t xml:space="preserve">Layer 3</w:t>
            </w:r>
          </w:p>
        </w:tc>
        <w:tc>
          <w:tcPr>
            <w:tcW w:type="dxa" w:w="26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20"/>
            </w:pPr>
            <w:r>
              <w:rPr>
                <w:rFonts w:ascii="Arial" w:cs="Arial" w:eastAsia="Arial" w:hAnsi="Arial"/>
                <w:b/>
                <w:bCs/>
                <w:color w:val="1E293B"/>
                <w:sz w:val="20"/>
                <w:szCs w:val="20"/>
              </w:rPr>
              <w:t xml:space="preserve">The Federation</w:t>
            </w:r>
          </w:p>
          <w:p>
            <w:pPr>
              <w:spacing w:after="20"/>
            </w:pPr>
            <w:r>
              <w:rPr>
                <w:rFonts w:ascii="Arial" w:cs="Arial" w:eastAsia="Arial" w:hAnsi="Arial"/>
                <w:i/>
                <w:iCs/>
                <w:color w:val="64748B"/>
                <w:sz w:val="18"/>
                <w:szCs w:val="18"/>
              </w:rPr>
              <w:t xml:space="preserve">(Connective Tissue)</w:t>
            </w:r>
          </w:p>
        </w:tc>
        <w:tc>
          <w:tcPr>
            <w:tcW w:type="dxa" w:w="300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color w:val="1E293B"/>
                <w:sz w:val="19"/>
                <w:szCs w:val="19"/>
              </w:rPr>
              <w:t xml:space="preserve">National quality standards, brand promise, collective purchasing, inter-cooperative funds, training, federation bylaws</w:t>
            </w:r>
          </w:p>
        </w:tc>
        <w:tc>
          <w:tcPr>
            <w:tcW w:type="dxa" w:w="2440"/>
            <w:tcBorders>
              <w:top w:val="single" w:color="E2E8F0" w:sz="1"/>
              <w:left w:val="single" w:color="E2E8F0" w:sz="1"/>
              <w:bottom w:val="single" w:color="E2E8F0" w:sz="1"/>
              <w:right w:val="single" w:color="E2E8F0" w:sz="1"/>
            </w:tcBorders>
            <w:shd w:fill="FFFBEB" w:val="clear"/>
            <w:tcMar>
              <w:top w:type="dxa" w:w="100"/>
              <w:left w:type="dxa" w:w="140"/>
              <w:bottom w:type="dxa" w:w="100"/>
              <w:right w:type="dxa" w:w="140"/>
            </w:tcMar>
          </w:tcPr>
          <w:p>
            <w:pPr>
              <w:spacing w:after="40"/>
            </w:pPr>
            <w:r>
              <w:rPr>
                <w:rFonts w:ascii="Arial" w:cs="Arial" w:eastAsia="Arial" w:hAnsi="Arial"/>
                <w:color w:val="1E293B"/>
                <w:sz w:val="19"/>
                <w:szCs w:val="19"/>
              </w:rPr>
              <w:t xml:space="preserve">Network cohesion, brand integrity, cross-subsidy fairness, expansion quality control</w:t>
            </w:r>
          </w:p>
        </w:tc>
      </w:tr>
    </w:tbl>
    <w:p>
      <w:pPr>
        <w:spacing w:after="80"/>
      </w:pPr>
      <w:r>
        <w:rPr>
          <w:sz w:val="8"/>
          <w:szCs w:val="8"/>
        </w:rPr>
        <w:t xml:space="preserve"/>
      </w:r>
    </w:p>
    <w:p>
      <w:pPr>
        <w:spacing w:before="180" w:after="100"/>
      </w:pPr>
      <w:r>
        <w:rPr>
          <w:rFonts w:ascii="Arial" w:cs="Arial" w:eastAsia="Arial" w:hAnsi="Arial"/>
          <w:b/>
          <w:bCs/>
          <w:color w:val="0F766E"/>
          <w:sz w:val="22"/>
          <w:szCs w:val="22"/>
        </w:rPr>
        <w:t xml:space="preserve">How the Layers Interact</w:t>
      </w:r>
    </w:p>
    <w:p>
      <w:pPr>
        <w:pStyle w:val="ListParagraph"/>
        <w:numPr>
          <w:ilvl w:val="0"/>
          <w:numId w:val="12"/>
        </w:numPr>
        <w:spacing w:after="90" w:line="300"/>
      </w:pPr>
      <w:r>
        <w:rPr>
          <w:rFonts w:ascii="Arial" w:cs="Arial" w:eastAsia="Arial" w:hAnsi="Arial"/>
          <w:color w:val="1E293B"/>
          <w:sz w:val="21"/>
          <w:szCs w:val="21"/>
        </w:rPr>
        <w:t xml:space="preserve">Layer 1 (LLC) licenses CareOS to Layer 2 (local co-op) for a fixed fee — not a percentage of revenue. This is the structural firewall against extraction.</w:t>
      </w:r>
    </w:p>
    <w:p>
      <w:pPr>
        <w:pStyle w:val="ListParagraph"/>
        <w:numPr>
          <w:ilvl w:val="0"/>
          <w:numId w:val="12"/>
        </w:numPr>
        <w:spacing w:after="90" w:line="300"/>
      </w:pPr>
      <w:r>
        <w:rPr>
          <w:rFonts w:ascii="Arial" w:cs="Arial" w:eastAsia="Arial" w:hAnsi="Arial"/>
          <w:color w:val="1E293B"/>
          <w:sz w:val="21"/>
          <w:szCs w:val="21"/>
        </w:rPr>
        <w:t xml:space="preserve">Layer 2 (local co-op) is the employer of record. Caregivers are W-2 worker-owners with equity. The co-op holds clinical liability because the workers who know the patients are the ones incentivized to maintain safety.</w:t>
      </w:r>
    </w:p>
    <w:p>
      <w:pPr>
        <w:pStyle w:val="ListParagraph"/>
        <w:numPr>
          <w:ilvl w:val="0"/>
          <w:numId w:val="12"/>
        </w:numPr>
        <w:spacing w:after="90" w:line="300"/>
      </w:pPr>
      <w:r>
        <w:rPr>
          <w:rFonts w:ascii="Arial" w:cs="Arial" w:eastAsia="Arial" w:hAnsi="Arial"/>
          <w:color w:val="1E293B"/>
          <w:sz w:val="21"/>
          <w:szCs w:val="21"/>
        </w:rPr>
        <w:t xml:space="preserve">Layer 3 (federation) sets quality floors, manages shared training, and operates inter-cooperative funds where successful co-ops contribute to support new or struggling branches.</w:t>
      </w:r>
    </w:p>
    <w:p>
      <w:pPr>
        <w:pStyle w:val="ListParagraph"/>
        <w:numPr>
          <w:ilvl w:val="0"/>
          <w:numId w:val="12"/>
        </w:numPr>
        <w:spacing w:after="90" w:line="300"/>
      </w:pPr>
      <w:r>
        <w:rPr>
          <w:rFonts w:ascii="Arial" w:cs="Arial" w:eastAsia="Arial" w:hAnsi="Arial"/>
          <w:color w:val="1E293B"/>
          <w:sz w:val="21"/>
          <w:szCs w:val="21"/>
        </w:rPr>
        <w:t xml:space="preserve">Capital flows upward (licensing fees). Economic surplus flows downward (wages, equity, patient savings). This is the Mondragon inversion: workers own the enterprise and hire the platform, not the reverse.</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13.3 Legal Structure Under Colorado Law</w:t>
      </w:r>
    </w:p>
    <w:p>
      <w:pPr>
        <w:spacing w:after="80"/>
      </w:pPr>
      <w:r>
        <w:rPr>
          <w:sz w:val="8"/>
          <w:szCs w:val="8"/>
        </w:rPr>
        <w:t xml:space="preserve"/>
      </w:r>
    </w:p>
    <w:p>
      <w:pPr>
        <w:spacing w:after="140" w:line="320"/>
      </w:pPr>
      <w:r>
        <w:rPr>
          <w:rFonts w:ascii="Arial" w:cs="Arial" w:eastAsia="Arial" w:hAnsi="Arial"/>
          <w:b/>
          <w:bCs/>
          <w:color w:val="0D9488"/>
          <w:sz w:val="21"/>
          <w:szCs w:val="21"/>
        </w:rPr>
        <w:t xml:space="preserve">Layer 1: </w:t>
      </w:r>
      <w:r>
        <w:rPr>
          <w:rFonts w:ascii="Arial" w:cs="Arial" w:eastAsia="Arial" w:hAnsi="Arial"/>
          <w:color w:val="1E293B"/>
          <w:sz w:val="21"/>
          <w:szCs w:val="21"/>
        </w:rPr>
        <w:t xml:space="preserve">Colorado LLC (co-op.care Technologies LLC). Standard limited liability company. Owns all IP, platform infrastructure, and national contracts. Structured to carry tech risk in isolation from clinical labor.</w:t>
      </w:r>
    </w:p>
    <w:p>
      <w:pPr>
        <w:spacing w:after="80"/>
      </w:pPr>
      <w:r>
        <w:rPr>
          <w:sz w:val="8"/>
          <w:szCs w:val="8"/>
        </w:rPr>
        <w:t xml:space="preserve"/>
      </w:r>
    </w:p>
    <w:p>
      <w:pPr>
        <w:spacing w:after="140" w:line="320"/>
      </w:pPr>
      <w:r>
        <w:rPr>
          <w:rFonts w:ascii="Arial" w:cs="Arial" w:eastAsia="Arial" w:hAnsi="Arial"/>
          <w:b/>
          <w:bCs/>
          <w:color w:val="16A34A"/>
          <w:sz w:val="21"/>
          <w:szCs w:val="21"/>
        </w:rPr>
        <w:t xml:space="preserve">Layer 2: </w:t>
      </w:r>
      <w:r>
        <w:rPr>
          <w:rFonts w:ascii="Arial" w:cs="Arial" w:eastAsia="Arial" w:hAnsi="Arial"/>
          <w:color w:val="1E293B"/>
          <w:sz w:val="21"/>
          <w:szCs w:val="21"/>
        </w:rPr>
        <w:t xml:space="preserve">Colorado Worker Cooperative under SB24-205. One member, one vote regardless of capital contribution. Internal Capital Accounts (ICAs) track each worker-owner’s equity stake. Vesting begins at 90–180 days, fully vests over 24–36 months. Formation supported by RMEOC under Colorado Employee Ownership Tax Credit (75% of formation costs covered).</w:t>
      </w:r>
    </w:p>
    <w:p>
      <w:pPr>
        <w:spacing w:after="80"/>
      </w:pPr>
      <w:r>
        <w:rPr>
          <w:sz w:val="8"/>
          <w:szCs w:val="8"/>
        </w:rPr>
        <w:t xml:space="preserve"/>
      </w:r>
    </w:p>
    <w:p>
      <w:pPr>
        <w:spacing w:after="140" w:line="320"/>
      </w:pPr>
      <w:r>
        <w:rPr>
          <w:rFonts w:ascii="Arial" w:cs="Arial" w:eastAsia="Arial" w:hAnsi="Arial"/>
          <w:b/>
          <w:bCs/>
          <w:color w:val="D97706"/>
          <w:sz w:val="21"/>
          <w:szCs w:val="21"/>
        </w:rPr>
        <w:t xml:space="preserve">Layer 3: </w:t>
      </w:r>
      <w:r>
        <w:rPr>
          <w:rFonts w:ascii="Arial" w:cs="Arial" w:eastAsia="Arial" w:hAnsi="Arial"/>
          <w:color w:val="1E293B"/>
          <w:sz w:val="21"/>
          <w:szCs w:val="21"/>
        </w:rPr>
        <w:t xml:space="preserve">Federation bylaws (modeled on Mondragon’s Congress structure). Each local cooperative sends elected delegates. National quality standards are binding. Inter-cooperative fund contributions are mandatory. Technology licensing terms are negotiated collectively.</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Licensing Fee Structure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3240"/>
      </w:tblGrid>
      <w:tr>
        <w:tc>
          <w:tcPr>
            <w:tcW w:type="dxa" w:w="3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COMPONENT</w:t>
            </w:r>
          </w:p>
        </w:tc>
        <w:tc>
          <w:tcPr>
            <w:tcW w:type="dxa" w:w="3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STRUCTURE</w:t>
            </w:r>
          </w:p>
        </w:tc>
        <w:tc>
          <w:tcPr>
            <w:tcW w:type="dxa" w:w="32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WHY IT MATTERS</w:t>
            </w:r>
          </w:p>
        </w:tc>
      </w:tr>
      <w:tr>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CareOS platform license</w:t>
            </w:r>
          </w:p>
        </w:tc>
        <w:tc>
          <w:tcPr>
            <w:tcW w:type="dxa" w:w="3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Fixed monthly fee per cooperative</w:t>
            </w:r>
          </w:p>
        </w:tc>
        <w:tc>
          <w:tcPr>
            <w:tcW w:type="dxa" w:w="32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Decouples tech cost from revenue. As co-op grows, fee stays flat = more surplus for workers.</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Aidbox FHIR server</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Pass-through at cost ($1,900/mo)</w:t>
            </w:r>
          </w:p>
        </w:tc>
        <w:tc>
          <w:tcPr>
            <w:tcW w:type="dxa" w:w="32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No markup on infrastructure. Transparency.</w:t>
            </w:r>
          </w:p>
        </w:tc>
      </w:tr>
      <w:tr>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AI/NLP pipeline</w:t>
            </w:r>
          </w:p>
        </w:tc>
        <w:tc>
          <w:tcPr>
            <w:tcW w:type="dxa" w:w="3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Per-assessment or per-encounter fee</w:t>
            </w:r>
          </w:p>
        </w:tc>
        <w:tc>
          <w:tcPr>
            <w:tcW w:type="dxa" w:w="32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Variable cost aligned to actual usage, not projected revenue.</w:t>
            </w:r>
          </w:p>
        </w:tc>
      </w:tr>
      <w:tr>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Inter-cooperative fund</w:t>
            </w:r>
          </w:p>
        </w:tc>
        <w:tc>
          <w:tcPr>
            <w:tcW w:type="dxa" w:w="3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2–5% of net proceeds to federation</w:t>
            </w:r>
          </w:p>
        </w:tc>
        <w:tc>
          <w:tcPr>
            <w:tcW w:type="dxa" w:w="32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Mutual insurance for new/struggling branches. Mondragon “solidarity” mechanism.</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Total platform overhead target: ~12% of net proceeds. </w:t>
      </w:r>
      <w:r>
        <w:rPr>
          <w:rFonts w:ascii="Arial" w:cs="Arial" w:eastAsia="Arial" w:hAnsi="Arial"/>
          <w:color w:val="1E293B"/>
          <w:sz w:val="21"/>
          <w:szCs w:val="21"/>
        </w:rPr>
        <w:t xml:space="preserve">Remaining 88% flows to the local workforce as wages, equity, and reinvestment. Compare: traditional agencies extract 40–60%.</w:t>
      </w:r>
    </w:p>
    <w:p>
      <w:r>
        <w:r>
          <w:br w:type="page"/>
        </w:r>
      </w:r>
    </w:p>
    <w:p>
      <w:pPr>
        <w:pStyle w:val="Heading1"/>
        <w:spacing w:before="400" w:after="200"/>
      </w:pPr>
      <w:r>
        <w:rPr>
          <w:rFonts w:ascii="Arial" w:cs="Arial" w:eastAsia="Arial" w:hAnsi="Arial"/>
          <w:b/>
          <w:bCs/>
          <w:color w:val="1E293B"/>
          <w:sz w:val="34"/>
          <w:szCs w:val="34"/>
        </w:rPr>
        <w:t xml:space="preserve">14. Platform Extraction Defense</w:t>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home care industry’s defining structural problem is not a lack of technology. It is the systematic extraction of value from the care transaction by intermediaries who provide coordination but capture a majority of the economic surplus. co-op.care is explicitly designed to prevent this.</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14.1 The Extraction Model: How Honor and Papa Work</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Honor initially operated as a direct-to-consumer agency but pivoted to the “Honor Care Network,” an enterprise solution handling back-end administrative and billing functions for independent agencies. While marketed as enabling agencies to “focus on care,” the revenue-sharing arrangements extract significant value:</w:t>
      </w:r>
    </w:p>
    <w:p>
      <w:pPr>
        <w:spacing w:after="80"/>
      </w:pPr>
      <w:r>
        <w:rPr>
          <w:sz w:val="8"/>
          <w:szCs w:val="8"/>
        </w:rPr>
        <w:t xml:space="preserve"/>
      </w:r>
    </w:p>
    <w:p>
      <w:pPr>
        <w:pStyle w:val="ListParagraph"/>
        <w:numPr>
          <w:ilvl w:val="0"/>
          <w:numId w:val="13"/>
        </w:numPr>
        <w:spacing w:after="90" w:line="300"/>
      </w:pPr>
      <w:r>
        <w:rPr>
          <w:rFonts w:ascii="Arial" w:cs="Arial" w:eastAsia="Arial" w:hAnsi="Arial"/>
          <w:color w:val="1E293B"/>
          <w:sz w:val="21"/>
          <w:szCs w:val="21"/>
        </w:rPr>
        <w:t xml:space="preserve">Honor’s cut ranges from 50/50 splits to as high as 80–90% of agency revenue in some configurations.</w:t>
      </w:r>
    </w:p>
    <w:p>
      <w:pPr>
        <w:pStyle w:val="ListParagraph"/>
        <w:numPr>
          <w:ilvl w:val="0"/>
          <w:numId w:val="13"/>
        </w:numPr>
        <w:spacing w:after="90" w:line="300"/>
      </w:pPr>
      <w:r>
        <w:rPr>
          <w:rFonts w:ascii="Arial" w:cs="Arial" w:eastAsia="Arial" w:hAnsi="Arial"/>
          <w:color w:val="1E293B"/>
          <w:sz w:val="21"/>
          <w:szCs w:val="21"/>
        </w:rPr>
        <w:t xml:space="preserve">This “extraction tax” limits the ability of local agencies to pay competitive wages.</w:t>
      </w:r>
    </w:p>
    <w:p>
      <w:pPr>
        <w:pStyle w:val="ListParagraph"/>
        <w:numPr>
          <w:ilvl w:val="0"/>
          <w:numId w:val="13"/>
        </w:numPr>
        <w:spacing w:after="90" w:line="300"/>
      </w:pPr>
      <w:r>
        <w:rPr>
          <w:rFonts w:ascii="Arial" w:cs="Arial" w:eastAsia="Arial" w:hAnsi="Arial"/>
          <w:color w:val="1E293B"/>
          <w:sz w:val="21"/>
          <w:szCs w:val="21"/>
        </w:rPr>
        <w:t xml:space="preserve">Result: industry-standard wages of $13–17/hour, leading to 77–79% annual turnover.</w:t>
      </w:r>
    </w:p>
    <w:p>
      <w:pPr>
        <w:pStyle w:val="ListParagraph"/>
        <w:numPr>
          <w:ilvl w:val="0"/>
          <w:numId w:val="13"/>
        </w:numPr>
        <w:spacing w:after="90" w:line="300"/>
      </w:pPr>
      <w:r>
        <w:rPr>
          <w:rFonts w:ascii="Arial" w:cs="Arial" w:eastAsia="Arial" w:hAnsi="Arial"/>
          <w:color w:val="1E293B"/>
          <w:sz w:val="21"/>
          <w:szCs w:val="21"/>
        </w:rPr>
        <w:t xml:space="preserve">Turnover destroys care continuity. Patients see different faces every few weeks. Safety deteriorates.</w:t>
      </w:r>
    </w:p>
    <w:p>
      <w:pPr>
        <w:pStyle w:val="ListParagraph"/>
        <w:numPr>
          <w:ilvl w:val="0"/>
          <w:numId w:val="13"/>
        </w:numPr>
        <w:spacing w:after="90" w:line="300"/>
      </w:pPr>
      <w:r>
        <w:rPr>
          <w:rFonts w:ascii="Arial" w:cs="Arial" w:eastAsia="Arial" w:hAnsi="Arial"/>
          <w:color w:val="1E293B"/>
          <w:sz w:val="21"/>
          <w:szCs w:val="21"/>
        </w:rPr>
        <w:t xml:space="preserve">The platform captures the efficiency gains of technology while externalizing the human cost to workers and patients.</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14.2 Quantitative Comparison</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following model traces a $40/hour family payment through both architectures to show where the money actually goes:</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3020"/>
        <w:gridCol w:w="3020"/>
      </w:tblGrid>
      <w:tr>
        <w:tc>
          <w:tcPr>
            <w:tcW w:type="dxa" w:w="3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REVENUE FLOW</w:t>
            </w:r>
          </w:p>
        </w:tc>
        <w:tc>
          <w:tcPr>
            <w:tcW w:type="dxa" w:w="30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HONOR MODEL</w:t>
            </w:r>
          </w:p>
        </w:tc>
        <w:tc>
          <w:tcPr>
            <w:tcW w:type="dxa" w:w="30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CO-OP.CARE MODEL</w:t>
            </w:r>
          </w:p>
        </w:tc>
      </w:tr>
      <w:tr>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Family pays per hour</w:t>
            </w:r>
          </w:p>
        </w:tc>
        <w:tc>
          <w:tcPr>
            <w:tcW w:type="dxa" w:w="30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$40.00</w:t>
            </w:r>
          </w:p>
        </w:tc>
        <w:tc>
          <w:tcPr>
            <w:tcW w:type="dxa" w:w="30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$40.00</w:t>
            </w:r>
          </w:p>
        </w:tc>
      </w:tr>
      <w:tr>
        <w:tc>
          <w:tcPr>
            <w:tcW w:type="dxa" w:w="3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Platform/agency extraction</w:t>
            </w:r>
          </w:p>
        </w:tc>
        <w:tc>
          <w:tcPr>
            <w:tcW w:type="dxa" w:w="30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$20.00–$24.00 (50–60%)</w:t>
            </w:r>
          </w:p>
        </w:tc>
        <w:tc>
          <w:tcPr>
            <w:tcW w:type="dxa" w:w="30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6A34A"/>
                <w:sz w:val="20"/>
                <w:szCs w:val="20"/>
              </w:rPr>
              <w:t xml:space="preserve">$4.80 (12%)</w:t>
            </w:r>
          </w:p>
        </w:tc>
      </w:tr>
      <w:tr>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Available for caregiver wages + benefits</w:t>
            </w:r>
          </w:p>
        </w:tc>
        <w:tc>
          <w:tcPr>
            <w:tcW w:type="dxa" w:w="30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$16.00–$20.00</w:t>
            </w:r>
          </w:p>
        </w:tc>
        <w:tc>
          <w:tcPr>
            <w:tcW w:type="dxa" w:w="30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$35.20</w:t>
            </w:r>
          </w:p>
        </w:tc>
      </w:tr>
      <w:tr>
        <w:tc>
          <w:tcPr>
            <w:tcW w:type="dxa" w:w="3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Caregiver receives (wages + taxes + benefits)</w:t>
            </w:r>
          </w:p>
        </w:tc>
        <w:tc>
          <w:tcPr>
            <w:tcW w:type="dxa" w:w="30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$13–$17/hr</w:t>
            </w:r>
          </w:p>
        </w:tc>
        <w:tc>
          <w:tcPr>
            <w:tcW w:type="dxa" w:w="30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$25–$28/hr</w:t>
            </w:r>
          </w:p>
        </w:tc>
      </w:tr>
      <w:tr>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Equity accumulation for caregiver</w:t>
            </w:r>
          </w:p>
        </w:tc>
        <w:tc>
          <w:tcPr>
            <w:tcW w:type="dxa" w:w="30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$0</w:t>
            </w:r>
          </w:p>
        </w:tc>
        <w:tc>
          <w:tcPr>
            <w:tcW w:type="dxa" w:w="30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Up to $52,000 / 5 years</w:t>
            </w:r>
          </w:p>
        </w:tc>
      </w:tr>
      <w:tr>
        <w:tc>
          <w:tcPr>
            <w:tcW w:type="dxa" w:w="3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Where surplus goes</w:t>
            </w:r>
          </w:p>
        </w:tc>
        <w:tc>
          <w:tcPr>
            <w:tcW w:type="dxa" w:w="30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VC returns, executive comp, growth</w:t>
            </w:r>
          </w:p>
        </w:tc>
        <w:tc>
          <w:tcPr>
            <w:tcW w:type="dxa" w:w="30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Worker equity, patient savings, Time Bank</w:t>
            </w:r>
          </w:p>
        </w:tc>
      </w:tr>
      <w:tr>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Annual caregiver turnover</w:t>
            </w:r>
          </w:p>
        </w:tc>
        <w:tc>
          <w:tcPr>
            <w:tcW w:type="dxa" w:w="30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77–79%</w:t>
            </w:r>
          </w:p>
        </w:tc>
        <w:tc>
          <w:tcPr>
            <w:tcW w:type="dxa" w:w="30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&lt;15% (target)</w:t>
            </w:r>
          </w:p>
        </w:tc>
      </w:tr>
    </w:tbl>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14.3 The Economic Multiplication Effect</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When extraction drops from 50–60% to 12%, the surplus doesn’t disappear. It multiplies:</w:t>
      </w:r>
    </w:p>
    <w:p>
      <w:pPr>
        <w:spacing w:after="80"/>
      </w:pPr>
      <w:r>
        <w:rPr>
          <w:sz w:val="8"/>
          <w:szCs w:val="8"/>
        </w:rPr>
        <w:t xml:space="preserve"/>
      </w:r>
    </w:p>
    <w:p>
      <w:pPr>
        <w:spacing w:before="180" w:after="100"/>
      </w:pPr>
      <w:r>
        <w:rPr>
          <w:rFonts w:ascii="Arial" w:cs="Arial" w:eastAsia="Arial" w:hAnsi="Arial"/>
          <w:b/>
          <w:bCs/>
          <w:color w:val="0F766E"/>
          <w:sz w:val="22"/>
          <w:szCs w:val="22"/>
        </w:rPr>
        <w:t xml:space="preserve">For 50 patients at 20 hours/week average: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400"/>
        <w:gridCol w:w="2720"/>
        <w:gridCol w:w="2720"/>
      </w:tblGrid>
      <w:tr>
        <w:tc>
          <w:tcPr>
            <w:tcW w:type="dxa" w:w="44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METRIC</w:t>
            </w:r>
          </w:p>
        </w:tc>
        <w:tc>
          <w:tcPr>
            <w:tcW w:type="dxa" w:w="27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HONOR MODEL</w:t>
            </w:r>
          </w:p>
        </w:tc>
        <w:tc>
          <w:tcPr>
            <w:tcW w:type="dxa" w:w="272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CO-OP.CARE</w:t>
            </w:r>
          </w:p>
        </w:tc>
      </w:tr>
      <w:tr>
        <w:tc>
          <w:tcPr>
            <w:tcW w:type="dxa" w:w="4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Annual gross revenue (50 patients × 20 hrs × $40 × 52 wks)</w:t>
            </w:r>
          </w:p>
        </w:tc>
        <w:tc>
          <w:tcPr>
            <w:tcW w:type="dxa" w:w="2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$2,080,000</w:t>
            </w:r>
          </w:p>
        </w:tc>
        <w:tc>
          <w:tcPr>
            <w:tcW w:type="dxa" w:w="2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$2,080,000</w:t>
            </w:r>
          </w:p>
        </w:tc>
      </w:tr>
      <w:tr>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Platform extraction</w:t>
            </w:r>
          </w:p>
        </w:tc>
        <w:tc>
          <w:tcPr>
            <w:tcW w:type="dxa" w:w="27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$1,040,000–$1,248,000</w:t>
            </w:r>
          </w:p>
        </w:tc>
        <w:tc>
          <w:tcPr>
            <w:tcW w:type="dxa" w:w="27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6A34A"/>
                <w:sz w:val="20"/>
                <w:szCs w:val="20"/>
              </w:rPr>
              <w:t xml:space="preserve">$249,600</w:t>
            </w:r>
          </w:p>
        </w:tc>
      </w:tr>
      <w:tr>
        <w:tc>
          <w:tcPr>
            <w:tcW w:type="dxa" w:w="4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Available for workforce</w:t>
            </w:r>
          </w:p>
        </w:tc>
        <w:tc>
          <w:tcPr>
            <w:tcW w:type="dxa" w:w="2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$832,000–$1,040,000</w:t>
            </w:r>
          </w:p>
        </w:tc>
        <w:tc>
          <w:tcPr>
            <w:tcW w:type="dxa" w:w="2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$1,830,400</w:t>
            </w:r>
          </w:p>
        </w:tc>
      </w:tr>
      <w:tr>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Additional $ reaching workers annually</w:t>
            </w:r>
          </w:p>
        </w:tc>
        <w:tc>
          <w:tcPr>
            <w:tcW w:type="dxa" w:w="27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w:t>
            </w:r>
          </w:p>
        </w:tc>
        <w:tc>
          <w:tcPr>
            <w:tcW w:type="dxa" w:w="272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$790,000–$998,000</w:t>
            </w:r>
          </w:p>
        </w:tc>
      </w:tr>
      <w:tr>
        <w:tc>
          <w:tcPr>
            <w:tcW w:type="dxa" w:w="44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Local economic multiplier (spent in Boulder)</w:t>
            </w:r>
          </w:p>
        </w:tc>
        <w:tc>
          <w:tcPr>
            <w:tcW w:type="dxa" w:w="2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DC2626"/>
                <w:sz w:val="20"/>
                <w:szCs w:val="20"/>
              </w:rPr>
              <w:t xml:space="preserve">Leaks to SF/NYC investors</w:t>
            </w:r>
          </w:p>
        </w:tc>
        <w:tc>
          <w:tcPr>
            <w:tcW w:type="dxa" w:w="272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6A34A"/>
                <w:sz w:val="20"/>
                <w:szCs w:val="20"/>
              </w:rPr>
              <w:t xml:space="preserve">Circulates locally</w:t>
            </w:r>
          </w:p>
        </w:tc>
      </w:tr>
    </w:tbl>
    <w:p>
      <w:pPr>
        <w:spacing w:after="80"/>
      </w:pPr>
      <w:r>
        <w:rPr>
          <w:sz w:val="8"/>
          <w:szCs w:val="8"/>
        </w:rPr>
        <w:t xml:space="preserve"/>
      </w:r>
    </w:p>
    <w:p>
      <w:pPr>
        <w:spacing w:after="140" w:line="320"/>
      </w:pPr>
      <w:r>
        <w:rPr>
          <w:rFonts w:ascii="Arial" w:cs="Arial" w:eastAsia="Arial" w:hAnsi="Arial"/>
          <w:b/>
          <w:bCs/>
          <w:color w:val="1E293B"/>
          <w:sz w:val="21"/>
          <w:szCs w:val="21"/>
        </w:rPr>
        <w:t xml:space="preserve">The $790K–$998K annual difference </w:t>
      </w:r>
      <w:r>
        <w:rPr>
          <w:rFonts w:ascii="Arial" w:cs="Arial" w:eastAsia="Arial" w:hAnsi="Arial"/>
          <w:color w:val="1E293B"/>
          <w:sz w:val="21"/>
          <w:szCs w:val="21"/>
        </w:rPr>
        <w:t xml:space="preserve">between the two models represents real money that either flows to venture capital investors in San Francisco or stays in the Boulder community as caregiver wages, local spending, and cooperative equity.</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14.4 Eight Structural Moats Against Extraction</w:t>
      </w:r>
    </w:p>
    <w:p>
      <w:pPr>
        <w:spacing w:after="80"/>
      </w:pPr>
      <w:r>
        <w:rPr>
          <w:sz w:val="8"/>
          <w:szCs w:val="8"/>
        </w:rPr>
        <w:t xml:space="preserve"/>
      </w:r>
    </w:p>
    <w:p>
      <w:pPr>
        <w:pStyle w:val="ListParagraph"/>
        <w:numPr>
          <w:ilvl w:val="0"/>
          <w:numId w:val="14"/>
        </w:numPr>
        <w:spacing w:after="90" w:line="300"/>
      </w:pPr>
      <w:r>
        <w:rPr>
          <w:rFonts w:ascii="Arial" w:cs="Arial" w:eastAsia="Arial" w:hAnsi="Arial"/>
          <w:color w:val="1E293B"/>
          <w:sz w:val="21"/>
          <w:szCs w:val="21"/>
        </w:rPr>
        <w:t xml:space="preserve">Worker ownership: Caregivers own the cooperative. They cannot be extracted from because they are the extractors.</w:t>
      </w:r>
    </w:p>
    <w:p>
      <w:pPr>
        <w:pStyle w:val="ListParagraph"/>
        <w:numPr>
          <w:ilvl w:val="0"/>
          <w:numId w:val="14"/>
        </w:numPr>
        <w:spacing w:after="90" w:line="300"/>
      </w:pPr>
      <w:r>
        <w:rPr>
          <w:rFonts w:ascii="Arial" w:cs="Arial" w:eastAsia="Arial" w:hAnsi="Arial"/>
          <w:color w:val="1E293B"/>
          <w:sz w:val="21"/>
          <w:szCs w:val="21"/>
        </w:rPr>
        <w:t xml:space="preserve">Fixed licensing fee: Tech platform cost is decoupled from revenue. Growth benefits workers, not the platform.</w:t>
      </w:r>
    </w:p>
    <w:p>
      <w:pPr>
        <w:pStyle w:val="ListParagraph"/>
        <w:numPr>
          <w:ilvl w:val="0"/>
          <w:numId w:val="14"/>
        </w:numPr>
        <w:spacing w:after="90" w:line="300"/>
      </w:pPr>
      <w:r>
        <w:rPr>
          <w:rFonts w:ascii="Arial" w:cs="Arial" w:eastAsia="Arial" w:hAnsi="Arial"/>
          <w:color w:val="1E293B"/>
          <w:sz w:val="21"/>
          <w:szCs w:val="21"/>
        </w:rPr>
        <w:t xml:space="preserve">Clinical liability at Layer 2: Workers who hold liability have the strongest incentive for quality. No “grey area” accountability.</w:t>
      </w:r>
    </w:p>
    <w:p>
      <w:pPr>
        <w:pStyle w:val="ListParagraph"/>
        <w:numPr>
          <w:ilvl w:val="0"/>
          <w:numId w:val="14"/>
        </w:numPr>
        <w:spacing w:after="90" w:line="300"/>
      </w:pPr>
      <w:r>
        <w:rPr>
          <w:rFonts w:ascii="Arial" w:cs="Arial" w:eastAsia="Arial" w:hAnsi="Arial"/>
          <w:color w:val="1E293B"/>
          <w:sz w:val="21"/>
          <w:szCs w:val="21"/>
        </w:rPr>
        <w:t xml:space="preserve">Circular economy (Time Bank): Non-monetary care labor reduces cash outflow and builds community capacity.</w:t>
      </w:r>
    </w:p>
    <w:p>
      <w:pPr>
        <w:pStyle w:val="ListParagraph"/>
        <w:numPr>
          <w:ilvl w:val="0"/>
          <w:numId w:val="14"/>
        </w:numPr>
        <w:spacing w:after="90" w:line="300"/>
      </w:pPr>
      <w:r>
        <w:rPr>
          <w:rFonts w:ascii="Arial" w:cs="Arial" w:eastAsia="Arial" w:hAnsi="Arial"/>
          <w:color w:val="1E293B"/>
          <w:sz w:val="21"/>
          <w:szCs w:val="21"/>
        </w:rPr>
        <w:t xml:space="preserve">Data sovereignty: co-op.care owns its FHIR server and AI pipeline. No vendor can hold data hostage.</w:t>
      </w:r>
    </w:p>
    <w:p>
      <w:pPr>
        <w:pStyle w:val="ListParagraph"/>
        <w:numPr>
          <w:ilvl w:val="0"/>
          <w:numId w:val="14"/>
        </w:numPr>
        <w:spacing w:after="90" w:line="300"/>
      </w:pPr>
      <w:r>
        <w:rPr>
          <w:rFonts w:ascii="Arial" w:cs="Arial" w:eastAsia="Arial" w:hAnsi="Arial"/>
          <w:color w:val="1E293B"/>
          <w:sz w:val="21"/>
          <w:szCs w:val="21"/>
        </w:rPr>
        <w:t xml:space="preserve">Employer network lock-in: BVSD and employer benefits create recurring B2B revenue independent of platform dynamics.</w:t>
      </w:r>
    </w:p>
    <w:p>
      <w:pPr>
        <w:pStyle w:val="ListParagraph"/>
        <w:numPr>
          <w:ilvl w:val="0"/>
          <w:numId w:val="14"/>
        </w:numPr>
        <w:spacing w:after="90" w:line="300"/>
      </w:pPr>
      <w:r>
        <w:rPr>
          <w:rFonts w:ascii="Arial" w:cs="Arial" w:eastAsia="Arial" w:hAnsi="Arial"/>
          <w:color w:val="1E293B"/>
          <w:sz w:val="21"/>
          <w:szCs w:val="21"/>
        </w:rPr>
        <w:t xml:space="preserve">Federal first-mover (ACCESS Model): 10-year CMS model creates a durable, government-backed revenue stream.</w:t>
      </w:r>
    </w:p>
    <w:p>
      <w:pPr>
        <w:pStyle w:val="ListParagraph"/>
        <w:numPr>
          <w:ilvl w:val="0"/>
          <w:numId w:val="14"/>
        </w:numPr>
        <w:spacing w:after="90" w:line="300"/>
      </w:pPr>
      <w:r>
        <w:rPr>
          <w:rFonts w:ascii="Arial" w:cs="Arial" w:eastAsia="Arial" w:hAnsi="Arial"/>
          <w:color w:val="1E293B"/>
          <w:sz w:val="21"/>
          <w:szCs w:val="21"/>
        </w:rPr>
        <w:t xml:space="preserve">Inter-cooperative fund: Federation mutual aid prevents individual branch failure from cascading.</w:t>
      </w:r>
    </w:p>
    <w:p>
      <w:r>
        <w:r>
          <w:br w:type="page"/>
        </w:r>
      </w:r>
    </w:p>
    <w:p>
      <w:pPr>
        <w:pStyle w:val="Heading1"/>
        <w:spacing w:before="400" w:after="200"/>
      </w:pPr>
      <w:r>
        <w:rPr>
          <w:rFonts w:ascii="Arial" w:cs="Arial" w:eastAsia="Arial" w:hAnsi="Arial"/>
          <w:b/>
          <w:bCs/>
          <w:color w:val="1E293B"/>
          <w:sz w:val="34"/>
          <w:szCs w:val="34"/>
        </w:rPr>
        <w:t xml:space="preserve">15. The AI Efficiency Dividend (The Citrini Question)</w:t>
      </w:r>
    </w:p>
    <w:p>
      <w:pPr>
        <w:pBdr>
          <w:bottom w:val="single" w:color="0D9488" w:sz="6" w:space="1"/>
        </w:pBdr>
        <w:spacing w:before="120" w:after="120"/>
      </w:pPr>
      <w:r>
        <w:rPr>
          <w:sz w:val="2"/>
          <w:szCs w:val="2"/>
        </w:rPr>
        <w:t xml:space="preserve"/>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15.1 The Problem: Ghost GDP</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“Citrini Question” (from Citrini Research) asks: as agentic AI eliminates administrative friction — scheduling, billing, compliance, middle management — who captures the savings? In every SaaS model and VC-backed platform, the answer is the same: the platform owner captures the efficiency dividend as increased margin. Workers see no benefit. Patients see no benefit.</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This creates “Ghost GDP”: </w:t>
      </w:r>
      <w:r>
        <w:rPr>
          <w:rFonts w:ascii="Arial" w:cs="Arial" w:eastAsia="Arial" w:hAnsi="Arial"/>
          <w:color w:val="1E293B"/>
          <w:sz w:val="21"/>
          <w:szCs w:val="21"/>
        </w:rPr>
        <w:t xml:space="preserve">productivity increases on paper, but the gains don’t circulate to workers or consumers. Citrini warns this could collapse consumer demand as administrative jobs are displaced without corresponding wage increases for remaining workers.</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15.2 How CareOS AI Creates the Efficiency Dividend</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CareOS platform automates administrative functions that traditionally consume 20–30% of a home care agency’s operating budget:</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840"/>
      </w:tblGrid>
      <w:tr>
        <w:tc>
          <w:tcPr>
            <w:tcW w:type="dxa" w:w="2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FRICTION ELIMINATED</w:t>
            </w:r>
          </w:p>
        </w:tc>
        <w:tc>
          <w:tcPr>
            <w:tcW w:type="dxa" w:w="3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TRADITIONAL COST</w:t>
            </w:r>
          </w:p>
        </w:tc>
        <w:tc>
          <w:tcPr>
            <w:tcW w:type="dxa" w:w="38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8"/>
                <w:szCs w:val="18"/>
              </w:rPr>
              <w:t xml:space="preserve">CAREOS REPLACEMENT</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Clinical documentation</w:t>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45–60 min/day per caregiver in drop-down menus</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Voice note → NLP → Omaha System coding. 5 min/shift.</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Scheduling/dispatch</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Full-time scheduler ($45K–$55K/year)</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AI-optimized matching: geography, skills, patient preference, availability.</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Billing/claims</w:t>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Billing specialist ($40K–$50K) + claim denials</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Auto-generated PIN/CHI codes from shift documentation. EVV auto-attached.</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Compliance reporting</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Manual chart reviews, audit prep (50+ hrs/quarter)</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SQL on FHIR auto-generates QAPI dashboards. Continuous compliance.</w:t>
            </w:r>
          </w:p>
        </w:tc>
      </w:tr>
      <w:tr>
        <w:tc>
          <w:tcPr>
            <w:tcW w:type="dxa" w:w="2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Care plan updates</w:t>
            </w:r>
          </w:p>
        </w:tc>
        <w:tc>
          <w:tcPr>
            <w:tcW w:type="dxa" w:w="3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RN spends 2–4 hrs/week per patient on documentation</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CareOS auto-updates CarePlan FHIR resources from daily observations. RN reviews, not creates.</w:t>
            </w:r>
          </w:p>
        </w:tc>
      </w:tr>
    </w:tbl>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15.3 Where the Dividend Goes: The Structural Answer</w:t>
      </w:r>
    </w:p>
    <w:p>
      <w:pPr>
        <w:spacing w:after="80"/>
      </w:pPr>
      <w:r>
        <w:rPr>
          <w:sz w:val="8"/>
          <w:szCs w:val="8"/>
        </w:rPr>
        <w:t xml:space="preserve"/>
      </w:r>
    </w:p>
    <w:p>
      <w:pPr>
        <w:spacing w:after="140" w:line="320"/>
      </w:pPr>
      <w:r>
        <w:rPr>
          <w:rFonts w:ascii="Arial" w:cs="Arial" w:eastAsia="Arial" w:hAnsi="Arial"/>
          <w:b/>
          <w:bCs/>
          <w:color w:val="DC2626"/>
          <w:sz w:val="21"/>
          <w:szCs w:val="21"/>
        </w:rPr>
        <w:t xml:space="preserve">In a VC-backed platform (Honor, Papa, b.well): </w:t>
      </w:r>
      <w:r>
        <w:rPr>
          <w:rFonts w:ascii="Arial" w:cs="Arial" w:eastAsia="Arial" w:hAnsi="Arial"/>
          <w:color w:val="1E293B"/>
          <w:sz w:val="21"/>
          <w:szCs w:val="21"/>
        </w:rPr>
        <w:t xml:space="preserve">AI eliminates $200K–$400K in annual administrative headcount per branch. Savings are captured as increased gross margin, distributed to shareholders, and used to fund growth/acquisition. Workers receive nothing. Patients pay the same.</w:t>
      </w:r>
    </w:p>
    <w:p>
      <w:pPr>
        <w:spacing w:after="80"/>
      </w:pPr>
      <w:r>
        <w:rPr>
          <w:sz w:val="8"/>
          <w:szCs w:val="8"/>
        </w:rPr>
        <w:t xml:space="preserve"/>
      </w:r>
    </w:p>
    <w:p>
      <w:pPr>
        <w:spacing w:after="140" w:line="320"/>
      </w:pPr>
      <w:r>
        <w:rPr>
          <w:rFonts w:ascii="Arial" w:cs="Arial" w:eastAsia="Arial" w:hAnsi="Arial"/>
          <w:b/>
          <w:bCs/>
          <w:color w:val="16A34A"/>
          <w:sz w:val="21"/>
          <w:szCs w:val="21"/>
        </w:rPr>
        <w:t xml:space="preserve">In the co-op.care federation: </w:t>
      </w:r>
      <w:r>
        <w:rPr>
          <w:rFonts w:ascii="Arial" w:cs="Arial" w:eastAsia="Arial" w:hAnsi="Arial"/>
          <w:color w:val="1E293B"/>
          <w:sz w:val="21"/>
          <w:szCs w:val="21"/>
        </w:rPr>
        <w:t xml:space="preserve">The same $200K–$400K savings is captured by Layer 2 (the local cooperative). Because the cooperative is owned by the workers, the savings can only flow to three places:</w:t>
      </w:r>
    </w:p>
    <w:p>
      <w:pPr>
        <w:spacing w:after="80"/>
      </w:pPr>
      <w:r>
        <w:rPr>
          <w:sz w:val="8"/>
          <w:szCs w:val="8"/>
        </w:rPr>
        <w:t xml:space="preserve"/>
      </w:r>
    </w:p>
    <w:p>
      <w:pPr>
        <w:pStyle w:val="ListParagraph"/>
        <w:numPr>
          <w:ilvl w:val="0"/>
          <w:numId w:val="15"/>
        </w:numPr>
        <w:spacing w:after="90" w:line="300"/>
      </w:pPr>
      <w:r>
        <w:rPr>
          <w:rFonts w:ascii="Arial" w:cs="Arial" w:eastAsia="Arial" w:hAnsi="Arial"/>
          <w:color w:val="1E293B"/>
          <w:sz w:val="21"/>
          <w:szCs w:val="21"/>
        </w:rPr>
        <w:t xml:space="preserve">Higher caregiver wages (decision made by worker-owners through democratic vote)</w:t>
      </w:r>
    </w:p>
    <w:p>
      <w:pPr>
        <w:pStyle w:val="ListParagraph"/>
        <w:numPr>
          <w:ilvl w:val="0"/>
          <w:numId w:val="15"/>
        </w:numPr>
        <w:spacing w:after="90" w:line="300"/>
      </w:pPr>
      <w:r>
        <w:rPr>
          <w:rFonts w:ascii="Arial" w:cs="Arial" w:eastAsia="Arial" w:hAnsi="Arial"/>
          <w:color w:val="1E293B"/>
          <w:sz w:val="21"/>
          <w:szCs w:val="21"/>
        </w:rPr>
        <w:t xml:space="preserve">Lower patient costs (competitive advantage for family acquisition)</w:t>
      </w:r>
    </w:p>
    <w:p>
      <w:pPr>
        <w:pStyle w:val="ListParagraph"/>
        <w:numPr>
          <w:ilvl w:val="0"/>
          <w:numId w:val="15"/>
        </w:numPr>
        <w:spacing w:after="90" w:line="300"/>
      </w:pPr>
      <w:r>
        <w:rPr>
          <w:rFonts w:ascii="Arial" w:cs="Arial" w:eastAsia="Arial" w:hAnsi="Arial"/>
          <w:color w:val="1E293B"/>
          <w:sz w:val="21"/>
          <w:szCs w:val="21"/>
        </w:rPr>
        <w:t xml:space="preserve">Cooperative reinvestment (equipment, training, Time Bank expansion, new services)</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This is the structural “brake” on capital accumulation </w:t>
      </w:r>
      <w:r>
        <w:rPr>
          <w:rFonts w:ascii="Arial" w:cs="Arial" w:eastAsia="Arial" w:hAnsi="Arial"/>
          <w:color w:val="1E293B"/>
          <w:sz w:val="21"/>
          <w:szCs w:val="21"/>
        </w:rPr>
        <w:t xml:space="preserve">that prevents Ghost GDP. The co-op cannot extract the AI dividend for external shareholders because there are no external shareholders. The money can only go to workers, patients, or community reinvestment. The “Intelligence Revolution” stabilizes the care economy instead of hollowing it out.</w:t>
      </w:r>
    </w:p>
    <w:p>
      <w:r>
        <w:r>
          <w:br w:type="page"/>
        </w:r>
      </w:r>
    </w:p>
    <w:p>
      <w:pPr>
        <w:pStyle w:val="Heading1"/>
        <w:spacing w:before="400" w:after="200"/>
      </w:pPr>
      <w:r>
        <w:rPr>
          <w:rFonts w:ascii="Arial" w:cs="Arial" w:eastAsia="Arial" w:hAnsi="Arial"/>
          <w:b/>
          <w:bCs/>
          <w:color w:val="1E293B"/>
          <w:sz w:val="34"/>
          <w:szCs w:val="34"/>
        </w:rPr>
        <w:t xml:space="preserve">16. Mondragon Alignment and Risk Mitigation</w:t>
      </w:r>
    </w:p>
    <w:p>
      <w:pPr>
        <w:pBdr>
          <w:bottom w:val="single" w:color="0D9488" w:sz="6" w:space="1"/>
        </w:pBdr>
        <w:spacing w:before="120" w:after="120"/>
      </w:pPr>
      <w:r>
        <w:rPr>
          <w:sz w:val="2"/>
          <w:szCs w:val="2"/>
        </w:rPr>
        <w:t xml:space="preserve"/>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16.1 Ten Cooperative Principles in CareOS</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Mondragon model is supported by ten fundamental principles that co-op.care integrates into both its software and its federation bylaws. These are not ethical guidelines — they are functional requirements for maintaining a non-extractive system:</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840"/>
      </w:tblGrid>
      <w:tr>
        <w:tc>
          <w:tcPr>
            <w:tcW w:type="dxa" w:w="22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PRINCIPLE</w:t>
            </w:r>
          </w:p>
        </w:tc>
        <w:tc>
          <w:tcPr>
            <w:tcW w:type="dxa" w:w="38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MONDRAGON DEFINITION</w:t>
            </w:r>
          </w:p>
        </w:tc>
        <w:tc>
          <w:tcPr>
            <w:tcW w:type="dxa" w:w="38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CO-OP.CARE IMPLEMENTATION</w:t>
            </w:r>
          </w:p>
        </w:tc>
      </w:tr>
      <w:tr>
        <w:tc>
          <w:tcPr>
            <w:tcW w:type="dxa" w:w="2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Open Membership</w:t>
            </w:r>
          </w:p>
        </w:tc>
        <w:tc>
          <w:tcPr>
            <w:tcW w:type="dxa" w:w="3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Non-discriminatory admission</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Rapid expansion into new municipalities. Any qualified caregiver can join.</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Democratic Org</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One person, one vote</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Prevents platform capture by institutional investors. Clinical decisions exempt (MD authority).</w:t>
            </w:r>
          </w:p>
        </w:tc>
      </w:tr>
      <w:tr>
        <w:tc>
          <w:tcPr>
            <w:tcW w:type="dxa" w:w="2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Sovereignty of Labor</w:t>
            </w:r>
          </w:p>
        </w:tc>
        <w:tc>
          <w:tcPr>
            <w:tcW w:type="dxa" w:w="3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Profit based on work, not capital</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88% of net proceeds to local workforce. Capital is instrumental, not controlling.</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Instrumental Capital</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Capital with limited rights/returns</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Fixed licensing fee. No VC “take rate” that scales with worker effort.</w:t>
            </w:r>
          </w:p>
        </w:tc>
      </w:tr>
      <w:tr>
        <w:tc>
          <w:tcPr>
            <w:tcW w:type="dxa" w:w="2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Participatory Mgmt</w:t>
            </w:r>
          </w:p>
        </w:tc>
        <w:tc>
          <w:tcPr>
            <w:tcW w:type="dxa" w:w="3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Workers in business decisions</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Local co-ops manage clinical ops, culture, hiring. Layer 1 provides tech.</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Wage Solidarity</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Internal pay ratios (1:6)</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$25–$28/hr floor. Maximum spread between highest/lowest paid enforced.</w:t>
            </w:r>
          </w:p>
        </w:tc>
      </w:tr>
      <w:tr>
        <w:tc>
          <w:tcPr>
            <w:tcW w:type="dxa" w:w="2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Inter-cooperation</w:t>
            </w:r>
          </w:p>
        </w:tc>
        <w:tc>
          <w:tcPr>
            <w:tcW w:type="dxa" w:w="3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Mutual aid between co-ops</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Federation inter-cooperative fund. Shared purchasing, training, brand.</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Social Transform</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Reinvest in local community</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Time Bank, local wealth accumulation, prevents capital drainage to urban tech hubs.</w:t>
            </w:r>
          </w:p>
        </w:tc>
      </w:tr>
      <w:tr>
        <w:tc>
          <w:tcPr>
            <w:tcW w:type="dxa" w:w="22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Universality</w:t>
            </w:r>
          </w:p>
        </w:tc>
        <w:tc>
          <w:tcPr>
            <w:tcW w:type="dxa" w:w="38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Align with global co-op movement</w:t>
            </w:r>
          </w:p>
        </w:tc>
        <w:tc>
          <w:tcPr>
            <w:tcW w:type="dxa" w:w="38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ICA principles in bylaws. Partnership with RMEOC, National Co-op Bank.</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Education</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Continuous professional training</w:t>
            </w:r>
          </w:p>
        </w:tc>
        <w:tc>
          <w:tcPr>
            <w:tcW w:type="dxa" w:w="38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Layer 3 shared training modules. 12+ hrs annual in-service. Cooperative governance education.</w:t>
            </w:r>
          </w:p>
        </w:tc>
      </w:tr>
    </w:tbl>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16.2 The ULMA/Orona Risk: Defection Mitigation</w:t>
      </w:r>
    </w:p>
    <w:p>
      <w:pPr>
        <w:spacing w:after="80"/>
      </w:pPr>
      <w:r>
        <w:rPr>
          <w:sz w:val="8"/>
          <w:szCs w:val="8"/>
        </w:rPr>
        <w:t xml:space="preserve"/>
      </w:r>
    </w:p>
    <w:p>
      <w:pPr>
        <w:spacing w:after="140" w:line="320"/>
      </w:pPr>
      <w:r>
        <w:rPr>
          <w:rFonts w:ascii="Arial" w:cs="Arial" w:eastAsia="Arial" w:hAnsi="Arial"/>
          <w:b/>
          <w:bCs/>
          <w:color w:val="DC2626"/>
          <w:sz w:val="21"/>
          <w:szCs w:val="21"/>
        </w:rPr>
        <w:t xml:space="preserve">The risk: </w:t>
      </w:r>
      <w:r>
        <w:rPr>
          <w:rFonts w:ascii="Arial" w:cs="Arial" w:eastAsia="Arial" w:hAnsi="Arial"/>
          <w:color w:val="1E293B"/>
          <w:sz w:val="21"/>
          <w:szCs w:val="21"/>
        </w:rPr>
        <w:t xml:space="preserve">In 2022, the ULMA and Orona groups departed the Mondragon Corporation. Highly successful cooperatives felt they were subsidizing less efficient members. This is the most significant structural vulnerability in any federation model.</w:t>
      </w:r>
    </w:p>
    <w:p>
      <w:pPr>
        <w:spacing w:after="80"/>
      </w:pPr>
      <w:r>
        <w:rPr>
          <w:sz w:val="8"/>
          <w:szCs w:val="8"/>
        </w:rPr>
        <w:t xml:space="preserve"/>
      </w:r>
    </w:p>
    <w:p>
      <w:pPr>
        <w:spacing w:after="140" w:line="320"/>
      </w:pPr>
      <w:r>
        <w:rPr>
          <w:rFonts w:ascii="Arial" w:cs="Arial" w:eastAsia="Arial" w:hAnsi="Arial"/>
          <w:b/>
          <w:bCs/>
          <w:color w:val="16A34A"/>
          <w:sz w:val="21"/>
          <w:szCs w:val="21"/>
        </w:rPr>
        <w:t xml:space="preserve">co-op.care’s defense: </w:t>
      </w:r>
      <w:r>
        <w:rPr>
          <w:rFonts w:ascii="Arial" w:cs="Arial" w:eastAsia="Arial" w:hAnsi="Arial"/>
          <w:color w:val="1E293B"/>
          <w:sz w:val="21"/>
          <w:szCs w:val="21"/>
        </w:rPr>
        <w:t xml:space="preserve">Make the Hard Shell technology so indispensable and cost-effective that leaving the federation is a competitive disadvantage:</w:t>
      </w:r>
    </w:p>
    <w:p>
      <w:pPr>
        <w:spacing w:after="80"/>
      </w:pPr>
      <w:r>
        <w:rPr>
          <w:sz w:val="8"/>
          <w:szCs w:val="8"/>
        </w:rPr>
        <w:t xml:space="preserve"/>
      </w:r>
    </w:p>
    <w:p>
      <w:pPr>
        <w:pStyle w:val="ListParagraph"/>
        <w:numPr>
          <w:ilvl w:val="0"/>
          <w:numId w:val="16"/>
        </w:numPr>
        <w:spacing w:after="90" w:line="300"/>
      </w:pPr>
      <w:r>
        <w:rPr>
          <w:rFonts w:ascii="Arial" w:cs="Arial" w:eastAsia="Arial" w:hAnsi="Arial"/>
          <w:color w:val="1E293B"/>
          <w:sz w:val="21"/>
          <w:szCs w:val="21"/>
        </w:rPr>
        <w:t xml:space="preserve">CareOS + Aidbox FHIR infrastructure would cost $500K–$1M+ to rebuild independently. No local co-op has the engineering capacity.</w:t>
      </w:r>
    </w:p>
    <w:p>
      <w:pPr>
        <w:pStyle w:val="ListParagraph"/>
        <w:numPr>
          <w:ilvl w:val="0"/>
          <w:numId w:val="16"/>
        </w:numPr>
        <w:spacing w:after="90" w:line="300"/>
      </w:pPr>
      <w:r>
        <w:rPr>
          <w:rFonts w:ascii="Arial" w:cs="Arial" w:eastAsia="Arial" w:hAnsi="Arial"/>
          <w:color w:val="1E293B"/>
          <w:sz w:val="21"/>
          <w:szCs w:val="21"/>
        </w:rPr>
        <w:t xml:space="preserve">National payer contracts (Medicare, ACCESS Model, employer benefits) are negotiated at federation level. A departing co-op loses these.</w:t>
      </w:r>
    </w:p>
    <w:p>
      <w:pPr>
        <w:pStyle w:val="ListParagraph"/>
        <w:numPr>
          <w:ilvl w:val="0"/>
          <w:numId w:val="16"/>
        </w:numPr>
        <w:spacing w:after="90" w:line="300"/>
      </w:pPr>
      <w:r>
        <w:rPr>
          <w:rFonts w:ascii="Arial" w:cs="Arial" w:eastAsia="Arial" w:hAnsi="Arial"/>
          <w:color w:val="1E293B"/>
          <w:sz w:val="21"/>
          <w:szCs w:val="21"/>
        </w:rPr>
        <w:t xml:space="preserve">Inter-cooperative fund contributions are small (2–5%) relative to the shared services received.</w:t>
      </w:r>
    </w:p>
    <w:p>
      <w:pPr>
        <w:pStyle w:val="ListParagraph"/>
        <w:numPr>
          <w:ilvl w:val="0"/>
          <w:numId w:val="16"/>
        </w:numPr>
        <w:spacing w:after="90" w:line="300"/>
      </w:pPr>
      <w:r>
        <w:rPr>
          <w:rFonts w:ascii="Arial" w:cs="Arial" w:eastAsia="Arial" w:hAnsi="Arial"/>
          <w:color w:val="1E293B"/>
          <w:sz w:val="21"/>
          <w:szCs w:val="21"/>
        </w:rPr>
        <w:t xml:space="preserve">Brand identity and reputation are federation assets. A departing co-op starts from zero with families and hospitals.</w:t>
      </w:r>
    </w:p>
    <w:p>
      <w:pPr>
        <w:pStyle w:val="ListParagraph"/>
        <w:numPr>
          <w:ilvl w:val="0"/>
          <w:numId w:val="16"/>
        </w:numPr>
        <w:spacing w:after="90" w:line="300"/>
      </w:pPr>
      <w:r>
        <w:rPr>
          <w:rFonts w:ascii="Arial" w:cs="Arial" w:eastAsia="Arial" w:hAnsi="Arial"/>
          <w:color w:val="1E293B"/>
          <w:sz w:val="21"/>
          <w:szCs w:val="21"/>
        </w:rPr>
        <w:t xml:space="preserve">Training, compliance templates, CDPHE application support — all provided through Layer 3.</w:t>
      </w:r>
    </w:p>
    <w:p>
      <w:pPr>
        <w:spacing w:after="80"/>
      </w:pPr>
      <w:r>
        <w:rPr>
          <w:sz w:val="8"/>
          <w:szCs w:val="8"/>
        </w:rPr>
        <w:t xml:space="preserve"/>
      </w:r>
    </w:p>
    <w:p>
      <w:pPr>
        <w:spacing w:after="140" w:line="320"/>
      </w:pPr>
      <w:r>
        <w:rPr>
          <w:rFonts w:ascii="Arial" w:cs="Arial" w:eastAsia="Arial" w:hAnsi="Arial"/>
          <w:b/>
          <w:bCs/>
          <w:color w:val="1E293B"/>
          <w:sz w:val="21"/>
          <w:szCs w:val="21"/>
        </w:rPr>
        <w:t xml:space="preserve">Additional Mondragon lessons applied: </w:t>
      </w:r>
    </w:p>
    <w:p>
      <w:pPr>
        <w:pStyle w:val="ListParagraph"/>
        <w:numPr>
          <w:ilvl w:val="0"/>
          <w:numId w:val="17"/>
        </w:numPr>
        <w:spacing w:after="90" w:line="300"/>
      </w:pPr>
      <w:r>
        <w:rPr>
          <w:rFonts w:ascii="Arial" w:cs="Arial" w:eastAsia="Arial" w:hAnsi="Arial"/>
          <w:color w:val="1E293B"/>
          <w:sz w:val="21"/>
          <w:szCs w:val="21"/>
        </w:rPr>
        <w:t xml:space="preserve">Transparent financial reporting between all layers prevents perception of unfairness.</w:t>
      </w:r>
    </w:p>
    <w:p>
      <w:pPr>
        <w:pStyle w:val="ListParagraph"/>
        <w:numPr>
          <w:ilvl w:val="0"/>
          <w:numId w:val="17"/>
        </w:numPr>
        <w:spacing w:after="90" w:line="300"/>
      </w:pPr>
      <w:r>
        <w:rPr>
          <w:rFonts w:ascii="Arial" w:cs="Arial" w:eastAsia="Arial" w:hAnsi="Arial"/>
          <w:color w:val="1E293B"/>
          <w:sz w:val="21"/>
          <w:szCs w:val="21"/>
        </w:rPr>
        <w:t xml:space="preserve">Democratic governance at Layer 3 ensures dissatisfied co-ops have voice before considering exit.</w:t>
      </w:r>
    </w:p>
    <w:p>
      <w:pPr>
        <w:pStyle w:val="ListParagraph"/>
        <w:numPr>
          <w:ilvl w:val="0"/>
          <w:numId w:val="17"/>
        </w:numPr>
        <w:spacing w:after="90" w:line="300"/>
      </w:pPr>
      <w:r>
        <w:rPr>
          <w:rFonts w:ascii="Arial" w:cs="Arial" w:eastAsia="Arial" w:hAnsi="Arial"/>
          <w:color w:val="1E293B"/>
          <w:sz w:val="21"/>
          <w:szCs w:val="21"/>
        </w:rPr>
        <w:t xml:space="preserve">Inter-cooperative fund caps prevent successful co-ops from feeling disproportionately burdened.</w:t>
      </w:r>
    </w:p>
    <w:p>
      <w:pPr>
        <w:pStyle w:val="ListParagraph"/>
        <w:numPr>
          <w:ilvl w:val="0"/>
          <w:numId w:val="17"/>
        </w:numPr>
        <w:spacing w:after="90" w:line="300"/>
      </w:pPr>
      <w:r>
        <w:rPr>
          <w:rFonts w:ascii="Arial" w:cs="Arial" w:eastAsia="Arial" w:hAnsi="Arial"/>
          <w:color w:val="1E293B"/>
          <w:sz w:val="21"/>
          <w:szCs w:val="21"/>
        </w:rPr>
        <w:t xml:space="preserve">Graduated licensing fees for smaller/newer co-ops reduce the “subsidy resentment” that triggered ULMA/Orona.</w:t>
      </w:r>
    </w:p>
    <w:p>
      <w:pPr>
        <w:spacing w:after="80"/>
      </w:pPr>
      <w:r>
        <w:rPr>
          <w:sz w:val="8"/>
          <w:szCs w:val="8"/>
        </w:rPr>
        <w:t xml:space="preserve"/>
      </w:r>
    </w:p>
    <w:p>
      <w:pPr>
        <w:pStyle w:val="Heading2"/>
        <w:spacing w:before="320" w:after="180"/>
      </w:pPr>
      <w:r>
        <w:rPr>
          <w:rFonts w:ascii="Arial" w:cs="Arial" w:eastAsia="Arial" w:hAnsi="Arial"/>
          <w:b/>
          <w:bCs/>
          <w:color w:val="0D9488"/>
          <w:sz w:val="28"/>
          <w:szCs w:val="28"/>
        </w:rPr>
        <w:t xml:space="preserve">16.3 Technological Sovereignty: Preventing Vendor Dependency</w:t>
      </w:r>
    </w:p>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The Mondragon model includes R&amp;D cooperatives (Ikerlan, Ideko) that provide technology to member cooperatives — ensuring they aren’t dependent on external industrial giants. Layer 1 of co-op.care serves this exact function:</w:t>
      </w:r>
    </w:p>
    <w:p>
      <w:pPr>
        <w:spacing w:after="80"/>
      </w:pPr>
      <w:r>
        <w:rPr>
          <w:sz w:val="8"/>
          <w:szCs w:val="8"/>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40"/>
      </w:tblGrid>
      <w:tr>
        <w:tc>
          <w:tcPr>
            <w:tcW w:type="dxa" w:w="2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SOVEREIGNTY DOMAIN</w:t>
            </w:r>
          </w:p>
        </w:tc>
        <w:tc>
          <w:tcPr>
            <w:tcW w:type="dxa" w:w="360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CO-OP.CARE STRATEGY</w:t>
            </w:r>
          </w:p>
        </w:tc>
        <w:tc>
          <w:tcPr>
            <w:tcW w:type="dxa" w:w="3640"/>
            <w:tcBorders>
              <w:top w:val="single" w:color="E2E8F0" w:sz="1"/>
              <w:left w:val="single" w:color="E2E8F0" w:sz="1"/>
              <w:bottom w:val="single" w:color="E2E8F0" w:sz="1"/>
              <w:right w:val="single" w:color="E2E8F0" w:sz="1"/>
            </w:tcBorders>
            <w:shd w:fill="1E293B" w:val="clear"/>
            <w:tcMar>
              <w:top w:type="dxa" w:w="100"/>
              <w:left w:type="dxa" w:w="140"/>
              <w:bottom w:type="dxa" w:w="100"/>
              <w:right w:type="dxa" w:w="140"/>
            </w:tcMar>
          </w:tcPr>
          <w:p>
            <w:pPr>
              <w:spacing w:after="40"/>
            </w:pPr>
            <w:r>
              <w:rPr>
                <w:rFonts w:ascii="Arial" w:cs="Arial" w:eastAsia="Arial" w:hAnsi="Arial"/>
                <w:b/>
                <w:bCs/>
                <w:i w:val="false"/>
                <w:iCs w:val="false"/>
                <w:color w:val="FFFFFF"/>
                <w:sz w:val="17"/>
                <w:szCs w:val="17"/>
              </w:rPr>
              <w:t xml:space="preserve">MONDRAGON ANALOG</w:t>
            </w:r>
          </w:p>
        </w:tc>
      </w:tr>
      <w:tr>
        <w:tc>
          <w:tcPr>
            <w:tcW w:type="dxa" w:w="2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Data standard</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Own FHIR server (Aidbox). Own NLP pipeline. No vendor holds patient data hostage.</w:t>
            </w:r>
          </w:p>
        </w:tc>
        <w:tc>
          <w:tcPr>
            <w:tcW w:type="dxa" w:w="36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Ikerlan: ICT and cybersecurity hubs for member cooperatives.</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Intellectual property</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Full ownership of CareOS, CII/CRI, Omaha mapping models, matching algorithm.</w:t>
            </w:r>
          </w:p>
        </w:tc>
        <w:tc>
          <w:tcPr>
            <w:tcW w:type="dxa" w:w="36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Mondragon manages 382 patent families across the corporation.</w:t>
            </w:r>
          </w:p>
        </w:tc>
      </w:tr>
      <w:tr>
        <w:tc>
          <w:tcPr>
            <w:tcW w:type="dxa" w:w="2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R&amp;D funding</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Funded through the 12% licensing fee. Transparent. No VC strings.</w:t>
            </w:r>
          </w:p>
        </w:tc>
        <w:tc>
          <w:tcPr>
            <w:tcW w:type="dxa" w:w="36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€201M annual R&amp;D investment from member contributions.</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Integration strategy</w:t>
            </w:r>
          </w:p>
        </w:tc>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Connect to national networks (HIEs, TEFCA) without being subservient. Can swap point connectors.</w:t>
            </w:r>
          </w:p>
        </w:tc>
        <w:tc>
          <w:tcPr>
            <w:tcW w:type="dxa" w:w="3640"/>
            <w:tcBorders>
              <w:top w:val="single" w:color="E2E8F0" w:sz="1"/>
              <w:left w:val="single" w:color="E2E8F0" w:sz="1"/>
              <w:bottom w:val="single" w:color="E2E8F0" w:sz="1"/>
              <w:right w:val="single" w:color="E2E8F0" w:sz="1"/>
            </w:tcBorders>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Ikerlan specializes in “Industry 4.0” and AI to keep members competitive.</w:t>
            </w:r>
          </w:p>
        </w:tc>
      </w:tr>
      <w:tr>
        <w:tc>
          <w:tcPr>
            <w:tcW w:type="dxa" w:w="2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bCs/>
                <w:i w:val="false"/>
                <w:iCs w:val="false"/>
                <w:color w:val="1E293B"/>
                <w:sz w:val="20"/>
                <w:szCs w:val="20"/>
              </w:rPr>
              <w:t xml:space="preserve">Personnel</w:t>
            </w:r>
          </w:p>
        </w:tc>
        <w:tc>
          <w:tcPr>
            <w:tcW w:type="dxa" w:w="360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Dedicated Layer 1 engineering team. AI/FHIR specialists.</w:t>
            </w:r>
          </w:p>
        </w:tc>
        <w:tc>
          <w:tcPr>
            <w:tcW w:type="dxa" w:w="3640"/>
            <w:tcBorders>
              <w:top w:val="single" w:color="E2E8F0" w:sz="1"/>
              <w:left w:val="single" w:color="E2E8F0" w:sz="1"/>
              <w:bottom w:val="single" w:color="E2E8F0" w:sz="1"/>
              <w:right w:val="single" w:color="E2E8F0" w:sz="1"/>
            </w:tcBorders>
            <w:shd w:fill="F0FDFA" w:val="clear"/>
            <w:tcMar>
              <w:top w:type="dxa" w:w="100"/>
              <w:left w:type="dxa" w:w="140"/>
              <w:bottom w:type="dxa" w:w="100"/>
              <w:right w:type="dxa" w:w="140"/>
            </w:tcMar>
          </w:tcPr>
          <w:p>
            <w:pPr>
              <w:spacing w:after="40"/>
            </w:pPr>
            <w:r>
              <w:rPr>
                <w:rFonts w:ascii="Arial" w:cs="Arial" w:eastAsia="Arial" w:hAnsi="Arial"/>
                <w:b w:val="false"/>
                <w:bCs w:val="false"/>
                <w:i w:val="false"/>
                <w:iCs w:val="false"/>
                <w:color w:val="1E293B"/>
                <w:sz w:val="20"/>
                <w:szCs w:val="20"/>
              </w:rPr>
              <w:t xml:space="preserve">2,072 people dedicated to R&amp;D across Mondragon.</w:t>
            </w:r>
          </w:p>
        </w:tc>
      </w:tr>
    </w:tbl>
    <w:p>
      <w:pPr>
        <w:spacing w:after="80"/>
      </w:pPr>
      <w:r>
        <w:rPr>
          <w:sz w:val="8"/>
          <w:szCs w:val="8"/>
        </w:rPr>
        <w:t xml:space="preserve"/>
      </w:r>
    </w:p>
    <w:p>
      <w:pPr>
        <w:spacing w:after="140" w:line="320"/>
      </w:pPr>
      <w:r>
        <w:rPr>
          <w:rFonts w:ascii="Arial" w:cs="Arial" w:eastAsia="Arial" w:hAnsi="Arial"/>
          <w:b w:val="false"/>
          <w:bCs w:val="false"/>
          <w:i w:val="false"/>
          <w:iCs w:val="false"/>
          <w:color w:val="1E293B"/>
          <w:sz w:val="21"/>
          <w:szCs w:val="21"/>
        </w:rPr>
        <w:t xml:space="preserve">By owning the core data stack, co-op.care can integrate with external networks (hospital HIEs, b.well health.network, TEFCA) as a peer, not a dependent. The federation can swap vendors, adopt new standards, or build new capabilities without rewriting the entire system.</w:t>
      </w:r>
    </w:p>
    <w:p>
      <w:pPr>
        <w:spacing w:after="80"/>
      </w:pPr>
      <w:r>
        <w:rPr>
          <w:sz w:val="8"/>
          <w:szCs w:val="8"/>
        </w:rPr>
        <w:t xml:space="preserve"/>
      </w:r>
    </w:p>
    <w:p>
      <w:pPr>
        <w:spacing w:after="80"/>
      </w:pPr>
      <w:r>
        <w:rPr>
          <w:sz w:val="8"/>
          <w:szCs w:val="8"/>
        </w:rPr>
        <w:t xml:space="preserve"/>
      </w:r>
    </w:p>
    <w:p>
      <w:pPr>
        <w:pBdr>
          <w:bottom w:val="single" w:color="0D9488" w:sz="6" w:space="1"/>
        </w:pBdr>
        <w:spacing w:before="120" w:after="120"/>
      </w:pPr>
      <w:r>
        <w:rPr>
          <w:sz w:val="2"/>
          <w:szCs w:val="2"/>
        </w:rPr>
        <w:t xml:space="preserve"/>
      </w:r>
    </w:p>
    <w:p>
      <w:pPr>
        <w:spacing w:after="80"/>
      </w:pPr>
      <w:r>
        <w:rPr>
          <w:sz w:val="8"/>
          <w:szCs w:val="8"/>
        </w:rPr>
        <w:t xml:space="preserve"/>
      </w:r>
    </w:p>
    <w:p>
      <w:pPr>
        <w:spacing w:after="120"/>
        <w:jc w:val="center"/>
      </w:pPr>
      <w:r>
        <w:rPr>
          <w:rFonts w:ascii="Arial" w:cs="Arial" w:eastAsia="Arial" w:hAnsi="Arial"/>
          <w:b/>
          <w:bCs/>
          <w:color w:val="0D9488"/>
          <w:sz w:val="22"/>
          <w:szCs w:val="22"/>
        </w:rPr>
        <w:t xml:space="preserve">co-op.care Technologies LLC</w:t>
      </w:r>
    </w:p>
    <w:p>
      <w:pPr>
        <w:spacing w:after="40"/>
        <w:jc w:val="center"/>
      </w:pPr>
      <w:r>
        <w:rPr>
          <w:rFonts w:ascii="Arial" w:cs="Arial" w:eastAsia="Arial" w:hAnsi="Arial"/>
          <w:color w:val="64748B"/>
          <w:sz w:val="20"/>
          <w:szCs w:val="20"/>
        </w:rPr>
        <w:t xml:space="preserve">Boulder, Colorado  ·  blaine@co-op.care</w:t>
      </w:r>
    </w:p>
    <w:p>
      <w:pPr>
        <w:spacing w:after="40"/>
        <w:jc w:val="center"/>
      </w:pPr>
      <w:r>
        <w:rPr>
          <w:rFonts w:ascii="Arial" w:cs="Arial" w:eastAsia="Arial" w:hAnsi="Arial"/>
          <w:i/>
          <w:iCs/>
          <w:color w:val="94A3B8"/>
          <w:sz w:val="20"/>
          <w:szCs w:val="20"/>
        </w:rPr>
        <w:t xml:space="preserve">The logic of the neighborhood.</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co-op.care Technologies LLC  ·  Boulder, Colorado  ·  blaine@co-op.care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0D9488"/>
        <w:sz w:val="16"/>
        <w:szCs w:val="16"/>
      </w:rPr>
      <w:t xml:space="preserve">co-op.care  </w:t>
    </w:r>
    <w:r>
      <w:rPr>
        <w:rFonts w:ascii="Arial" w:cs="Arial" w:eastAsia="Arial" w:hAnsi="Arial"/>
        <w:color w:val="94A3B8"/>
        <w:sz w:val="16"/>
        <w:szCs w:val="16"/>
      </w:rPr>
      <w:t xml:space="preserve">|  Architecture &amp; Technical Platform  |  </w:t>
    </w:r>
    <w:r>
      <w:rPr>
        <w:rFonts w:ascii="Arial" w:cs="Arial" w:eastAsia="Arial" w:hAnsi="Arial"/>
        <w:b/>
        <w:bCs/>
        <w:color w:val="DC2626"/>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8"/>
    <w:lvlOverride w:ilvl="0">
      <w:startOverride w:val="1"/>
    </w:lvlOverride>
  </w:num>
  <w:num w:numId="5">
    <w:abstractNumId w:val="34"/>
    <w:lvlOverride w:ilvl="0">
      <w:startOverride w:val="1"/>
    </w:lvlOverride>
  </w:num>
  <w:num w:numId="6">
    <w:abstractNumId w:val="9"/>
    <w:lvlOverride w:ilvl="0">
      <w:startOverride w:val="1"/>
    </w:lvlOverride>
  </w:num>
  <w:num w:numId="7">
    <w:abstractNumId w:val="10"/>
    <w:lvlOverride w:ilvl="0">
      <w:startOverride w:val="1"/>
    </w:lvlOverride>
  </w:num>
  <w:num w:numId="8">
    <w:abstractNumId w:val="33"/>
    <w:lvlOverride w:ilvl="0">
      <w:startOverride w:val="1"/>
    </w:lvlOverride>
  </w:num>
  <w:num w:numId="9">
    <w:abstractNumId w:val="5"/>
    <w:lvlOverride w:ilvl="0">
      <w:startOverride w:val="1"/>
    </w:lvlOverride>
  </w:num>
  <w:num w:numId="10">
    <w:abstractNumId w:val="6"/>
    <w:lvlOverride w:ilvl="0">
      <w:startOverride w:val="1"/>
    </w:lvlOverride>
  </w:num>
  <w:num w:numId="11">
    <w:abstractNumId w:val="7"/>
    <w:lvlOverride w:ilvl="0">
      <w:startOverride w:val="1"/>
    </w:lvlOverride>
  </w:num>
  <w:num w:numId="12">
    <w:abstractNumId w:val="35"/>
    <w:lvlOverride w:ilvl="0">
      <w:startOverride w:val="1"/>
    </w:lvlOverride>
  </w:num>
  <w:num w:numId="13">
    <w:abstractNumId w:val="11"/>
    <w:lvlOverride w:ilvl="0">
      <w:startOverride w:val="1"/>
    </w:lvlOverride>
  </w:num>
  <w:num w:numId="14">
    <w:abstractNumId w:val="36"/>
    <w:lvlOverride w:ilvl="0">
      <w:startOverride w:val="1"/>
    </w:lvlOverride>
  </w:num>
  <w:num w:numId="15">
    <w:abstractNumId w:val="37"/>
    <w:lvlOverride w:ilvl="0">
      <w:startOverride w:val="1"/>
    </w:lvlOverride>
  </w:num>
  <w:num w:numId="16">
    <w:abstractNumId w:val="12"/>
    <w:lvlOverride w:ilvl="0">
      <w:startOverride w:val="1"/>
    </w:lvlOverride>
  </w:num>
  <w:num w:numId="17">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4"/>
      <w:szCs w:val="34"/>
    </w:rPr>
  </w:style>
  <w:style w:type="paragraph" w:styleId="Heading2">
    <w:name w:val="Heading 2"/>
    <w:basedOn w:val="Normal"/>
    <w:next w:val="Normal"/>
    <w:qFormat/>
    <w:pPr>
      <w:spacing w:before="320" w:after="18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2026-02-27T21:39:27.413Z</dcterms:created>
  <dcterms:modified xsi:type="dcterms:W3CDTF">2026-02-27T21:39:27.414Z</dcterms:modified>
</cp:coreProperties>
</file>

<file path=docProps/custom.xml><?xml version="1.0" encoding="utf-8"?>
<Properties xmlns="http://schemas.openxmlformats.org/officeDocument/2006/custom-properties" xmlns:vt="http://schemas.openxmlformats.org/officeDocument/2006/docPropsVTypes"/>
</file>