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spacing w:before="0" w:after="200" w:lineRule="auto" w:line="240"/>
        <w:jc w:val="center"/>
      </w:pPr>
      <w:r>
        <w:drawing>
          <wp:inline xmlns:a="http://schemas.openxmlformats.org/drawingml/2006/main" xmlns:pic="http://schemas.openxmlformats.org/drawingml/2006/picture">
            <wp:extent cx="1078992" cy="1119966"/>
            <wp:docPr id="1" name="Picture 1" descr="Current Mefford Contracting red-and-gray logo" title="Mefford Contracting red-and-gray logo"/>
            <wp:cNvGraphicFramePr>
              <a:graphicFrameLocks noChangeAspect="1"/>
            </wp:cNvGraphicFramePr>
            <a:graphic>
              <a:graphicData uri="http://schemas.openxmlformats.org/drawingml/2006/picture">
                <pic:pic>
                  <pic:nvPicPr>
                    <pic:cNvPr id="0" name="Mefford_logo_vertical.png"/>
                    <pic:cNvPicPr/>
                  </pic:nvPicPr>
                  <pic:blipFill>
                    <a:blip r:embed="rId12"/>
                    <a:stretch>
                      <a:fillRect/>
                    </a:stretch>
                  </pic:blipFill>
                  <pic:spPr>
                    <a:xfrm>
                      <a:off x="0" y="0"/>
                      <a:ext cx="1078992" cy="1119966"/>
                    </a:xfrm>
                    <a:prstGeom prst="rect"/>
                  </pic:spPr>
                </pic:pic>
              </a:graphicData>
            </a:graphic>
          </wp:inline>
        </w:drawing>
      </w:r>
    </w:p>
    <w:p>
      <w:pPr>
        <w:jc w:val="center"/>
      </w:pPr>
      <w:r>
        <w:rPr>
          <w:rFonts w:ascii="Arial" w:hAnsi="Arial"/>
          <w:b/>
          <w:i w:val="0"/>
          <w:color w:val="1F2937"/>
          <w:sz w:val="50"/>
        </w:rPr>
        <w:t>DESIGN-BUILD GMP AGREEMENT</w:t>
      </w:r>
    </w:p>
    <w:p>
      <w:pPr>
        <w:pStyle w:val="Subtitle"/>
        <w:jc w:val="center"/>
      </w:pPr>
      <w:r>
        <w:rPr>
          <w:rFonts w:ascii="Arial" w:hAnsi="Arial"/>
          <w:b w:val="0"/>
          <w:i w:val="0"/>
          <w:color w:val="58585A"/>
          <w:sz w:val="25"/>
        </w:rPr>
        <w:t>Phase One Design Authorization and GMP Contract Framework</w:t>
      </w:r>
    </w:p>
    <w:p>
      <w:pPr>
        <w:keepNext w:val="0"/>
        <w:widowControl/>
        <w:spacing w:before="0" w:after="400" w:lineRule="auto" w:line="240"/>
        <w:jc w:val="center"/>
      </w:pPr>
      <w:r>
        <w:rPr>
          <w:rFonts w:ascii="Arial" w:hAnsi="Arial"/>
          <w:b/>
          <w:i w:val="0"/>
          <w:color w:val="922E26"/>
          <w:sz w:val="18"/>
        </w:rPr>
        <w:t>MC-OWN-DBGMP-001  |  REV. 2.1</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AGREEMENT INFORMATION</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VALUE</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Agreement date</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Owner legal name</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Owner legal status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Owner address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Project name</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Project address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Project description</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Design-Builder</w:t>
            </w:r>
          </w:p>
        </w:tc>
        <w:tc>
          <w:tcPr>
            <w:tcW w:type="dxa" w:w="669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t>Mefford Contracting, LLC</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Design-Builder address</w:t>
            </w:r>
          </w:p>
        </w:tc>
        <w:tc>
          <w:tcPr>
            <w:tcW w:type="dxa" w:w="669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t>1585 Mercer Road, Suite 110, Lexington, Kentucky 40511</w:t>
            </w:r>
          </w:p>
        </w:tc>
      </w:tr>
    </w:tbl>
    <w:p>
      <w:pPr>
        <w:spacing w:after="40"/>
      </w:pP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INITIAL OWNER AUTHORIZATION</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APPROVED AMOUNT / DATE</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Owner's total Project budget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t>$____________</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Phase One Design and Preconstruction Fee</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t>$____________</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Amount due upon execution</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t>$____________</w:t>
            </w:r>
          </w:p>
        </w:tc>
      </w:tr>
    </w:tbl>
    <w:p>
      <w:pPr>
        <w:spacing w:after="40"/>
      </w:pPr>
    </w:p>
    <w:p>
      <w:r>
        <w:br w:type="page"/>
      </w:r>
    </w:p>
    <w:p>
      <w:pPr>
        <w:pStyle w:val="Heading1"/>
      </w:pPr>
      <w:r>
        <w:rPr>
          <w:rFonts w:ascii="Arial" w:hAnsi="Arial"/>
          <w:b/>
          <w:i w:val="0"/>
          <w:color w:val="922E26"/>
          <w:sz w:val="27"/>
        </w:rPr>
        <w:t>TABLE OF ARTICLES</w:t>
      </w:r>
    </w:p>
    <w:tbl>
      <w:tblPr>
        <w:tblW w:type="dxa" w:w="9360"/>
        <w:jc w:val="left"/>
        <w:tblLayout w:type="fixed"/>
        <w:tblLook w:firstColumn="1" w:firstRow="1" w:lastColumn="0" w:lastRow="0" w:noHBand="0" w:noVBand="1" w:val="04A0"/>
        <w:tblInd w:w="120" w:type="dxa"/>
      </w:tblPr>
      <w:tblGrid>
        <w:gridCol w:w="792"/>
        <w:gridCol w:w="8568"/>
      </w:tblGrid>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1</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GENERAL PROVISIONS</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2</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PHASE ONE COMPENSATION AND PROGRESS PAYMENTS</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3</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GENERAL REQUIREMENTS OF THE DESIGN-BUILD CONTRACT</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4</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WORK BEFORE EXECUTION OF EXHIBIT A</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5</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WORK AFTER EXECUTION OF EXHIBIT A</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6</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CHANGES IN THE WORK</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7</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OWNER'S RESPONSIBILITIES</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8</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TIME</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9</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APPLICATIONS FOR PAYMENT AND PROJECT COMPLETION</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10</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PROTECTION OF PERSONS AND PROPERTY</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11</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UNCOVERING AND CORRECTION OF WORK</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12</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INSTRUMENTS OF SERVICE AND LICENSES</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13</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SUSPENSION AND TERMINATION</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14</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CLAIMS AND DISPUTE RESOLUTION</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15</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MISCELLANEOUS PROVISIONS</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16</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CONTRACT DOCUMENTS AND EXECUTION</w:t>
            </w:r>
          </w:p>
        </w:tc>
      </w:tr>
    </w:tbl>
    <w:p>
      <w:pPr>
        <w:keepNext w:val="0"/>
        <w:widowControl/>
        <w:spacing w:before="0" w:after="140" w:lineRule="auto" w:line="254"/>
      </w:pPr>
      <w:r>
        <w:rPr>
          <w:rFonts w:ascii="Arial" w:hAnsi="Arial"/>
          <w:b w:val="0"/>
          <w:i w:val="0"/>
          <w:color w:val="111111"/>
          <w:sz w:val="19"/>
        </w:rPr>
        <w:t>By executing this Agreement, Owner approves the Project budget stated on the first page and authorizes only the Phase One design and preconstruction services described in Article 2. The Guaranteed Maximum Price and authorization to proceed with construction become effective only when Owner and Design-Builder later execute Exhibit A, Design-Build GMP Amendment.</w:t>
      </w:r>
    </w:p>
    <w:p>
      <w:pPr>
        <w:pStyle w:val="Heading1"/>
        <w:keepNext/>
      </w:pPr>
      <w:r>
        <w:rPr>
          <w:rFonts w:ascii="Arial" w:hAnsi="Arial"/>
          <w:b/>
          <w:i w:val="0"/>
          <w:color w:val="922E26"/>
          <w:sz w:val="27"/>
        </w:rPr>
        <w:t>ARTICLE 1  |  GENERAL PROVISIONS</w:t>
      </w:r>
    </w:p>
    <w:p>
      <w:pPr>
        <w:keepNext w:val="0"/>
        <w:keepLines/>
        <w:widowControl/>
        <w:spacing w:before="0" w:after="110" w:lineRule="auto" w:line="252"/>
      </w:pPr>
      <w:r>
        <w:rPr>
          <w:rFonts w:ascii="Arial" w:hAnsi="Arial"/>
          <w:b/>
          <w:i w:val="0"/>
          <w:color w:val="1F2937"/>
          <w:sz w:val="19"/>
        </w:rPr>
        <w:t xml:space="preserve">1.1  Owner's Criteria.  </w:t>
      </w:r>
      <w:r>
        <w:rPr>
          <w:rFonts w:ascii="Arial" w:hAnsi="Arial"/>
          <w:b w:val="0"/>
          <w:i w:val="0"/>
          <w:color w:val="111111"/>
          <w:sz w:val="19"/>
        </w:rPr>
        <w:t>The Owner's Criteria are the program, performance requirements, design requirements, physical characteristics, budget, schedule, quality expectations, site information, operational needs, and other requirements stated below or incorporated by a specifically identified attachment. Design-Builder may rely on Owner-furnished information except for conflicts or deficiencies a qualified design-builder should reasonably identify while performing the agreed services.</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OWNER'S CRITERIA</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PROJECT REQUIREMENT</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Project program and intended use</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Scope, quality, and performance requirements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Site and physical requirements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Design milestones and anticipated GMP proposal date</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Anticipated construction period</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Owner-furnished surveys, reports, and site information</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Owner-required architect, consultants, or contractors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Sustainability, incentive, or special requirements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Other Owner criteria</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1.2  Criteria Compliance and Changes.  </w:t>
      </w:r>
      <w:r>
        <w:rPr>
          <w:rFonts w:ascii="Arial" w:hAnsi="Arial"/>
          <w:b w:val="0"/>
          <w:i w:val="0"/>
          <w:color w:val="111111"/>
          <w:sz w:val="19"/>
        </w:rPr>
        <w:t>Design-Builder shall review the Owner's Criteria for general consistency with applicable law and shall promptly report known conflicts. A change in the Owner's Criteria requires a written Modification. Design development that reasonably implements unchanged criteria is not a change; a material change in program, size, quality, performance, site limits, schedule, or budget is processed under Article 6.</w:t>
      </w:r>
    </w:p>
    <w:p>
      <w:pPr>
        <w:keepNext w:val="0"/>
        <w:keepLines/>
        <w:widowControl/>
        <w:spacing w:before="0" w:after="110" w:lineRule="auto" w:line="252"/>
      </w:pPr>
      <w:r>
        <w:rPr>
          <w:rFonts w:ascii="Arial" w:hAnsi="Arial"/>
          <w:b/>
          <w:i w:val="0"/>
          <w:color w:val="1F2937"/>
          <w:sz w:val="19"/>
        </w:rPr>
        <w:t xml:space="preserve">1.3  Project Team.  </w:t>
      </w:r>
      <w:r>
        <w:rPr>
          <w:rFonts w:ascii="Arial" w:hAnsi="Arial"/>
          <w:b w:val="0"/>
          <w:i w:val="0"/>
          <w:color w:val="111111"/>
          <w:sz w:val="19"/>
        </w:rPr>
        <w:t>Each party shall act through its authorized representative. A representative may bind the appointing party only within the authority stated in this Agreement or separately confirmed in writing. A representative shall not be changed without reasonable written notice.</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PROJECT TEAM</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NAME / CONTACT / ROLE</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Owner representative and contact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Other Owner reviewers, consultants, or contractors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Design-Builder representative and contact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Lead Design Professional and contact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1.4  Binding Dispute Resolution.  </w:t>
      </w:r>
      <w:r>
        <w:rPr>
          <w:rFonts w:ascii="Arial" w:hAnsi="Arial"/>
          <w:b w:val="0"/>
          <w:i w:val="0"/>
          <w:color w:val="111111"/>
          <w:sz w:val="19"/>
        </w:rPr>
        <w:t>Claims not resolved by executive negotiation and mediation shall be resolved by the method selected below. If neither method is selected, litigation in a court of competent jurisdiction shall apply.</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DISPUTE ELECTION</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TERM</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Binding method</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Mediation provider, venue, or arbitration rules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1.5  Contract Documents.  </w:t>
      </w:r>
      <w:r>
        <w:rPr>
          <w:rFonts w:ascii="Arial" w:hAnsi="Arial"/>
          <w:b w:val="0"/>
          <w:i w:val="0"/>
          <w:color w:val="111111"/>
          <w:sz w:val="19"/>
        </w:rPr>
        <w:t>The Contract Documents consist of this Agreement, the executed Exhibit A, listed attachments, approved Change Orders, written directives issued under Article 6, and other documents expressly incorporated by a writing signed by both parties. They form the entire agreement and supersede prior negotiations and representations concerning the same Work.</w:t>
      </w:r>
    </w:p>
    <w:p>
      <w:pPr>
        <w:keepNext w:val="0"/>
        <w:keepLines/>
        <w:widowControl/>
        <w:spacing w:before="0" w:after="110" w:lineRule="auto" w:line="252"/>
      </w:pPr>
      <w:r>
        <w:rPr>
          <w:rFonts w:ascii="Arial" w:hAnsi="Arial"/>
          <w:b/>
          <w:i w:val="0"/>
          <w:color w:val="1F2937"/>
          <w:sz w:val="19"/>
        </w:rPr>
        <w:t xml:space="preserve">1.6  Definitions.  </w:t>
      </w:r>
      <w:r>
        <w:rPr>
          <w:rFonts w:ascii="Arial" w:hAnsi="Arial"/>
          <w:b w:val="0"/>
          <w:i w:val="0"/>
          <w:color w:val="111111"/>
          <w:sz w:val="19"/>
        </w:rPr>
        <w:t>Work means the design, preconstruction, procurement, construction, commissioning, and closeout services required by the Contract Documents. Project means the total undertaking of which the Work may be all or a part. Phase One means Work authorized before Exhibit A. Exhibit A means the later Design-Build GMP Amendment. GMP means the Guaranteed Maximum Price stated in Exhibit A. Cost of the Work means the reimbursable costs defined in Exhibit A. Design Professional means a properly licensed architect, engineer, or other professional. Instruments of Service means drawings, models, specifications, studies, calculations, and similar professional work product. Day means calendar day unless expressly stated otherwise.</w:t>
      </w:r>
    </w:p>
    <w:p>
      <w:pPr>
        <w:keepNext w:val="0"/>
        <w:keepLines/>
        <w:widowControl/>
        <w:spacing w:before="0" w:after="110" w:lineRule="auto" w:line="252"/>
      </w:pPr>
      <w:r>
        <w:rPr>
          <w:rFonts w:ascii="Arial" w:hAnsi="Arial"/>
          <w:b/>
          <w:i w:val="0"/>
          <w:color w:val="1F2937"/>
          <w:sz w:val="19"/>
        </w:rPr>
        <w:t xml:space="preserve">1.7  No Third-Party Beneficiary.  </w:t>
      </w:r>
      <w:r>
        <w:rPr>
          <w:rFonts w:ascii="Arial" w:hAnsi="Arial"/>
          <w:b w:val="0"/>
          <w:i w:val="0"/>
          <w:color w:val="111111"/>
          <w:sz w:val="19"/>
        </w:rPr>
        <w:t>The Contract creates rights only between Owner and Design-Builder. Design Professionals, subcontractors, suppliers, lenders, tenants, and separate contractors are not third-party beneficiaries unless a signed provision expressly states otherwise.</w:t>
      </w:r>
    </w:p>
    <w:p>
      <w:pPr>
        <w:pStyle w:val="Heading1"/>
        <w:keepNext/>
      </w:pPr>
      <w:r>
        <w:rPr>
          <w:rFonts w:ascii="Arial" w:hAnsi="Arial"/>
          <w:b/>
          <w:i w:val="0"/>
          <w:color w:val="922E26"/>
          <w:sz w:val="27"/>
        </w:rPr>
        <w:t>ARTICLE 2  |  PHASE ONE COMPENSATION AND PROGRESS PAYMENTS</w:t>
      </w:r>
    </w:p>
    <w:p>
      <w:pPr>
        <w:keepNext w:val="0"/>
        <w:keepLines/>
        <w:widowControl/>
        <w:spacing w:before="0" w:after="110" w:lineRule="auto" w:line="252"/>
      </w:pPr>
      <w:r>
        <w:rPr>
          <w:rFonts w:ascii="Arial" w:hAnsi="Arial"/>
          <w:b/>
          <w:i w:val="0"/>
          <w:color w:val="1F2937"/>
          <w:sz w:val="19"/>
        </w:rPr>
        <w:t xml:space="preserve">2.1  Phase One Authorization.  </w:t>
      </w:r>
      <w:r>
        <w:rPr>
          <w:rFonts w:ascii="Arial" w:hAnsi="Arial"/>
          <w:b w:val="0"/>
          <w:i w:val="0"/>
          <w:color w:val="111111"/>
          <w:sz w:val="19"/>
        </w:rPr>
        <w:t>Upon execution, Design-Builder shall begin the design and preconstruction services selected below. Phase One is intended to define the Project, advance design, evaluate budget and schedule, and prepare the GMP proposal described in Article 4. Phase One does not authorize general construction, except for separately signed early-work authorization.</w:t>
      </w:r>
    </w:p>
    <w:tbl>
      <w:tblPr>
        <w:tblW w:type="dxa" w:w="9360"/>
        <w:jc w:val="left"/>
        <w:tblLayout w:type="fixed"/>
        <w:tblLook w:firstColumn="1" w:firstRow="1" w:lastColumn="0" w:lastRow="0" w:noHBand="0" w:noVBand="1" w:val="04A0"/>
        <w:tblInd w:w="120" w:type="dxa"/>
      </w:tblPr>
      <w:tblGrid>
        <w:gridCol w:w="3528"/>
        <w:gridCol w:w="5832"/>
      </w:tblGrid>
      <w:tr>
        <w:trPr>
          <w:trHeight w:hRule="atLeast"/>
          <w:tblHeader w:val="true"/>
        </w:trPr>
        <w:tc>
          <w:tcPr>
            <w:tcW w:type="dxa" w:w="3528"/>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6"/>
              </w:rPr>
              <w:t>Phase One service</w:t>
            </w:r>
          </w:p>
        </w:tc>
        <w:tc>
          <w:tcPr>
            <w:tcW w:type="dxa" w:w="5832"/>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Included scope, responsible firm, and deliverable</w:t>
            </w:r>
          </w:p>
        </w:tc>
      </w:tr>
      <w:tr>
        <w:trPr>
          <w:cantSplit/>
          <w:trHeight w:hRule="atLeast"/>
        </w:trPr>
        <w:tc>
          <w:tcPr>
            <w:tcW w:type="dxa" w:w="352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Program, site, code, and permitting review</w:t>
            </w:r>
          </w:p>
        </w:tc>
        <w:tc>
          <w:tcPr>
            <w:tcW w:type="dxa" w:w="583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52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Architectural design</w:t>
            </w:r>
          </w:p>
        </w:tc>
        <w:tc>
          <w:tcPr>
            <w:tcW w:type="dxa" w:w="583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52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Civil and structural design</w:t>
            </w:r>
          </w:p>
        </w:tc>
        <w:tc>
          <w:tcPr>
            <w:tcW w:type="dxa" w:w="583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52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Mechanical, electrical, plumbing, and fire-protection design</w:t>
            </w:r>
          </w:p>
        </w:tc>
        <w:tc>
          <w:tcPr>
            <w:tcW w:type="dxa" w:w="583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52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Concept and schematic design</w:t>
            </w:r>
          </w:p>
        </w:tc>
        <w:tc>
          <w:tcPr>
            <w:tcW w:type="dxa" w:w="583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52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Design development</w:t>
            </w:r>
          </w:p>
        </w:tc>
        <w:tc>
          <w:tcPr>
            <w:tcW w:type="dxa" w:w="583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52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Permit and pricing documents</w:t>
            </w:r>
          </w:p>
        </w:tc>
        <w:tc>
          <w:tcPr>
            <w:tcW w:type="dxa" w:w="583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52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Estimating, constructability, and value analysis</w:t>
            </w:r>
          </w:p>
        </w:tc>
        <w:tc>
          <w:tcPr>
            <w:tcW w:type="dxa" w:w="583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52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Preliminary schedule, trade outreach, and procurement planning</w:t>
            </w:r>
          </w:p>
        </w:tc>
        <w:tc>
          <w:tcPr>
            <w:tcW w:type="dxa" w:w="583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52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GMP proposal and Exhibit A preparation</w:t>
            </w:r>
          </w:p>
        </w:tc>
        <w:tc>
          <w:tcPr>
            <w:tcW w:type="dxa" w:w="583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bl>
    <w:p>
      <w:pPr>
        <w:spacing w:after="40"/>
      </w:pPr>
    </w:p>
    <w:p>
      <w:pPr>
        <w:keepNext w:val="0"/>
        <w:keepLines/>
        <w:widowControl/>
        <w:spacing w:before="0" w:after="110" w:lineRule="auto" w:line="252"/>
      </w:pPr>
      <w:r>
        <w:rPr>
          <w:rFonts w:ascii="Arial" w:hAnsi="Arial"/>
          <w:b/>
          <w:i w:val="0"/>
          <w:color w:val="1F2937"/>
          <w:sz w:val="19"/>
        </w:rPr>
        <w:t xml:space="preserve">2.2  Phase One Fee.  </w:t>
      </w:r>
      <w:r>
        <w:rPr>
          <w:rFonts w:ascii="Arial" w:hAnsi="Arial"/>
          <w:b w:val="0"/>
          <w:i w:val="0"/>
          <w:color w:val="111111"/>
          <w:sz w:val="19"/>
        </w:rPr>
        <w:t>Owner shall pay Design-Builder the agreed Phase One fee stated below. Unless expressly stated as a fixed lump sum, the fee is a not-to-exceed amount based on the approved scope. A material change in the Phase One scope, criteria, schedule, or required deliverables requires written authorization before additional compensation is due.</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PHASE ONE COMPENSATION</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AMOUNT / BASIS</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Phase One fee basis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Total Phase One fee</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t>$____________</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Amount due upon execution</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t>$____________</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Remaining payment schedule</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Treatment in later GMP</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2.3  Hourly Services.  </w:t>
      </w:r>
      <w:r>
        <w:rPr>
          <w:rFonts w:ascii="Arial" w:hAnsi="Arial"/>
          <w:b w:val="0"/>
          <w:i w:val="0"/>
          <w:color w:val="111111"/>
          <w:sz w:val="19"/>
        </w:rPr>
        <w:t>Services outside the approved Phase One scope may be performed only after written authorization. Authorized hourly services shall be invoiced at the rates below, subject to any agreed maximum.</w:t>
      </w:r>
    </w:p>
    <w:tbl>
      <w:tblPr>
        <w:tblW w:type="dxa" w:w="9360"/>
        <w:jc w:val="left"/>
        <w:tblLayout w:type="fixed"/>
        <w:tblLook w:firstColumn="1" w:firstRow="1" w:lastColumn="0" w:lastRow="0" w:noHBand="0" w:noVBand="1" w:val="04A0"/>
        <w:tblInd w:w="120" w:type="dxa"/>
      </w:tblPr>
      <w:tblGrid>
        <w:gridCol w:w="4032"/>
        <w:gridCol w:w="2016"/>
        <w:gridCol w:w="3312"/>
      </w:tblGrid>
      <w:tr>
        <w:trPr>
          <w:trHeight w:hRule="atLeast"/>
          <w:tblHeader w:val="true"/>
        </w:trPr>
        <w:tc>
          <w:tcPr>
            <w:tcW w:type="dxa" w:w="4032"/>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6"/>
              </w:rPr>
              <w:t>Individual / position</w:t>
            </w:r>
          </w:p>
        </w:tc>
        <w:tc>
          <w:tcPr>
            <w:tcW w:type="dxa" w:w="201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Hourly rate</w:t>
            </w:r>
          </w:p>
        </w:tc>
        <w:tc>
          <w:tcPr>
            <w:tcW w:type="dxa" w:w="3312"/>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Maximum / notes</w:t>
            </w:r>
          </w:p>
        </w:tc>
      </w:tr>
      <w:tr>
        <w:trPr>
          <w:cantSplit/>
          <w:trHeight w:hRule="atLeast"/>
        </w:trPr>
        <w:tc>
          <w:tcPr>
            <w:tcW w:type="dxa" w:w="403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Design professionals</w:t>
            </w:r>
          </w:p>
        </w:tc>
        <w:tc>
          <w:tcPr>
            <w:tcW w:type="dxa" w:w="201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31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403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Preconstruction and estimating</w:t>
            </w:r>
          </w:p>
        </w:tc>
        <w:tc>
          <w:tcPr>
            <w:tcW w:type="dxa" w:w="201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31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403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Project management</w:t>
            </w:r>
          </w:p>
        </w:tc>
        <w:tc>
          <w:tcPr>
            <w:tcW w:type="dxa" w:w="201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31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403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Other</w:t>
            </w:r>
          </w:p>
        </w:tc>
        <w:tc>
          <w:tcPr>
            <w:tcW w:type="dxa" w:w="201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31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bl>
    <w:p>
      <w:pPr>
        <w:spacing w:after="40"/>
      </w:pPr>
    </w:p>
    <w:p>
      <w:pPr>
        <w:keepNext w:val="0"/>
        <w:keepLines/>
        <w:widowControl/>
        <w:spacing w:before="0" w:after="110" w:lineRule="auto" w:line="252"/>
      </w:pPr>
      <w:r>
        <w:rPr>
          <w:rFonts w:ascii="Arial" w:hAnsi="Arial"/>
          <w:b/>
          <w:i w:val="0"/>
          <w:color w:val="1F2937"/>
          <w:sz w:val="19"/>
        </w:rPr>
        <w:t xml:space="preserve">2.4  Reimbursable Expenses.  </w:t>
      </w:r>
      <w:r>
        <w:rPr>
          <w:rFonts w:ascii="Arial" w:hAnsi="Arial"/>
          <w:b w:val="0"/>
          <w:i w:val="0"/>
          <w:color w:val="111111"/>
          <w:sz w:val="19"/>
        </w:rPr>
        <w:t>Unless included in the Phase One fee, reimbursable expenses are reasonable Project-specific expenses actually incurred for authorized travel; permit or agency charges; printing and delivery; requested renderings, models, testing, surveys, or special studies; and other expenses approved in writing. Reimbursable expenses shall be billed at cost plus the administrative markup stated below.</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REIMBURSABLE EXPENSES</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TERM</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Reimbursable-expense markup</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Approval limit, exclusions, or special treatment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2.5  Phase One Invoices.  </w:t>
      </w:r>
      <w:r>
        <w:rPr>
          <w:rFonts w:ascii="Arial" w:hAnsi="Arial"/>
          <w:b w:val="0"/>
          <w:i w:val="0"/>
          <w:color w:val="111111"/>
          <w:sz w:val="19"/>
        </w:rPr>
        <w:t>Design-Builder shall invoice according to the schedule above. Payment is due within the period stated below. Undisputed amounts not paid when due bear interest at the stated rate or the maximum lawful rate, whichever is less. Owner shall identify any disputed amount and its basis before the due date and shall timely pay the undisputed balance.</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PHASE ONE PAYMENT</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TERM</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Payment due after invoice</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Late-payment interest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2.6  Budget Status.  </w:t>
      </w:r>
      <w:r>
        <w:rPr>
          <w:rFonts w:ascii="Arial" w:hAnsi="Arial"/>
          <w:b w:val="0"/>
          <w:i w:val="0"/>
          <w:color w:val="111111"/>
          <w:sz w:val="19"/>
        </w:rPr>
        <w:t>The Owner's total Project budget is a planning and design criterion, not a promise that the Project can be completed for that amount and not the Contract Sum. Design-Builder shall use commercially reasonable efforts to develop a design and GMP proposal consistent with the budget and shall report material variances. The Contract Sum is established only by executed Exhibit A.</w:t>
      </w:r>
    </w:p>
    <w:p>
      <w:pPr>
        <w:keepNext w:val="0"/>
        <w:keepLines/>
        <w:widowControl/>
        <w:spacing w:before="0" w:after="110" w:lineRule="auto" w:line="252"/>
      </w:pPr>
      <w:r>
        <w:rPr>
          <w:rFonts w:ascii="Arial" w:hAnsi="Arial"/>
          <w:b/>
          <w:i w:val="0"/>
          <w:color w:val="1F2937"/>
          <w:sz w:val="19"/>
        </w:rPr>
        <w:t xml:space="preserve">2.7  Records.  </w:t>
      </w:r>
      <w:r>
        <w:rPr>
          <w:rFonts w:ascii="Arial" w:hAnsi="Arial"/>
          <w:b w:val="0"/>
          <w:i w:val="0"/>
          <w:color w:val="111111"/>
          <w:sz w:val="19"/>
        </w:rPr>
        <w:t>Records supporting reimbursable expenses and authorized hourly services shall be available for Owner review at mutually convenient times for two years after execution of Exhibit A or termination of this Agreement, whichever occurs first.</w:t>
      </w:r>
    </w:p>
    <w:p>
      <w:pPr>
        <w:pStyle w:val="Heading1"/>
        <w:keepNext/>
      </w:pPr>
      <w:r>
        <w:rPr>
          <w:rFonts w:ascii="Arial" w:hAnsi="Arial"/>
          <w:b/>
          <w:i w:val="0"/>
          <w:color w:val="922E26"/>
          <w:sz w:val="27"/>
        </w:rPr>
        <w:t>ARTICLE 3  |  GENERAL REQUIREMENTS OF THE DESIGN-BUILD CONTRACT</w:t>
      </w:r>
    </w:p>
    <w:p>
      <w:pPr>
        <w:keepNext w:val="0"/>
        <w:keepLines/>
        <w:widowControl/>
        <w:spacing w:before="0" w:after="110" w:lineRule="auto" w:line="252"/>
      </w:pPr>
      <w:r>
        <w:rPr>
          <w:rFonts w:ascii="Arial" w:hAnsi="Arial"/>
          <w:b/>
          <w:i w:val="0"/>
          <w:color w:val="1F2937"/>
          <w:sz w:val="19"/>
        </w:rPr>
        <w:t xml:space="preserve">3.1  Licensing and Representatives.  </w:t>
      </w:r>
      <w:r>
        <w:rPr>
          <w:rFonts w:ascii="Arial" w:hAnsi="Arial"/>
          <w:b w:val="0"/>
          <w:i w:val="0"/>
          <w:color w:val="111111"/>
          <w:sz w:val="19"/>
        </w:rPr>
        <w:t>Design-Builder shall comply with applicable licensing requirements and shall designate a representative authorized to act on its behalf. Services requiring professional licensure shall be performed, signed, and sealed by professionals properly licensed in the Project jurisdiction.</w:t>
      </w:r>
    </w:p>
    <w:p>
      <w:pPr>
        <w:keepNext w:val="0"/>
        <w:keepLines/>
        <w:widowControl/>
        <w:spacing w:before="0" w:after="110" w:lineRule="auto" w:line="252"/>
      </w:pPr>
      <w:r>
        <w:rPr>
          <w:rFonts w:ascii="Arial" w:hAnsi="Arial"/>
          <w:b/>
          <w:i w:val="0"/>
          <w:color w:val="1F2937"/>
          <w:sz w:val="19"/>
        </w:rPr>
        <w:t xml:space="preserve">3.2  Professional Standard of Care.  </w:t>
      </w:r>
      <w:r>
        <w:rPr>
          <w:rFonts w:ascii="Arial" w:hAnsi="Arial"/>
          <w:b w:val="0"/>
          <w:i w:val="0"/>
          <w:color w:val="111111"/>
          <w:sz w:val="19"/>
        </w:rPr>
        <w:t>Professional services shall be performed with the ordinary skill and care exercised by similarly situated licensed professionals practicing under similar circumstances. No warranty of perfect plans, permit approval, exact estimate, schedule, or outcome is created for professional services.</w:t>
      </w:r>
    </w:p>
    <w:p>
      <w:pPr>
        <w:keepNext w:val="0"/>
        <w:keepLines/>
        <w:widowControl/>
        <w:spacing w:before="0" w:after="110" w:lineRule="auto" w:line="252"/>
      </w:pPr>
      <w:r>
        <w:rPr>
          <w:rFonts w:ascii="Arial" w:hAnsi="Arial"/>
          <w:b/>
          <w:i w:val="0"/>
          <w:color w:val="1F2937"/>
          <w:sz w:val="19"/>
        </w:rPr>
        <w:t xml:space="preserve">3.3  Compliance.  </w:t>
      </w:r>
      <w:r>
        <w:rPr>
          <w:rFonts w:ascii="Arial" w:hAnsi="Arial"/>
          <w:b w:val="0"/>
          <w:i w:val="0"/>
          <w:color w:val="111111"/>
          <w:sz w:val="19"/>
        </w:rPr>
        <w:t>Design-Builder shall perform the Work in accordance with applicable laws, codes, and lawful orders. If a Contract requirement conflicts with law or safety, Design-Builder shall report the conflict and shall not be required to perform an unlawful or unsafe act.</w:t>
      </w:r>
    </w:p>
    <w:p>
      <w:pPr>
        <w:keepNext w:val="0"/>
        <w:keepLines/>
        <w:widowControl/>
        <w:spacing w:before="0" w:after="110" w:lineRule="auto" w:line="252"/>
      </w:pPr>
      <w:r>
        <w:rPr>
          <w:rFonts w:ascii="Arial" w:hAnsi="Arial"/>
          <w:b/>
          <w:i w:val="0"/>
          <w:color w:val="1F2937"/>
          <w:sz w:val="19"/>
        </w:rPr>
        <w:t xml:space="preserve">3.4  Responsibility for Participants.  </w:t>
      </w:r>
      <w:r>
        <w:rPr>
          <w:rFonts w:ascii="Arial" w:hAnsi="Arial"/>
          <w:b w:val="0"/>
          <w:i w:val="0"/>
          <w:color w:val="111111"/>
          <w:sz w:val="19"/>
        </w:rPr>
        <w:t>Design-Builder is responsible to Owner for the acts and omissions of its employees, Design Professionals, consultants, subcontractors, suppliers, and others performing portions of the Work under Design-Builder. Delegation does not eliminate Design-Builder's contractual coordination responsibility.</w:t>
      </w:r>
    </w:p>
    <w:p>
      <w:pPr>
        <w:keepNext w:val="0"/>
        <w:keepLines/>
        <w:widowControl/>
        <w:spacing w:before="0" w:after="110" w:lineRule="auto" w:line="252"/>
      </w:pPr>
      <w:r>
        <w:rPr>
          <w:rFonts w:ascii="Arial" w:hAnsi="Arial"/>
          <w:b/>
          <w:i w:val="0"/>
          <w:color w:val="1F2937"/>
          <w:sz w:val="19"/>
        </w:rPr>
        <w:t xml:space="preserve">3.5  Consultation, Meetings, and Reports.  </w:t>
      </w:r>
      <w:r>
        <w:rPr>
          <w:rFonts w:ascii="Arial" w:hAnsi="Arial"/>
          <w:b w:val="0"/>
          <w:i w:val="0"/>
          <w:color w:val="111111"/>
          <w:sz w:val="19"/>
        </w:rPr>
        <w:t>Design-Builder shall schedule and conduct the design, pricing, construction, and closeout meetings reasonably required by the Project and shall keep Owner informed of progress, quality, decisions, budget, schedule, procurement, allowances, contingencies, changes, safety, and material risks. Reporting frequency and format may be further stated in Exhibit A.</w:t>
      </w:r>
    </w:p>
    <w:p>
      <w:pPr>
        <w:keepNext w:val="0"/>
        <w:keepLines/>
        <w:widowControl/>
        <w:spacing w:before="0" w:after="110" w:lineRule="auto" w:line="252"/>
      </w:pPr>
      <w:r>
        <w:rPr>
          <w:rFonts w:ascii="Arial" w:hAnsi="Arial"/>
          <w:b/>
          <w:i w:val="0"/>
          <w:color w:val="1F2937"/>
          <w:sz w:val="19"/>
        </w:rPr>
        <w:t xml:space="preserve">3.6  Schedules.  </w:t>
      </w:r>
      <w:r>
        <w:rPr>
          <w:rFonts w:ascii="Arial" w:hAnsi="Arial"/>
          <w:b w:val="0"/>
          <w:i w:val="0"/>
          <w:color w:val="111111"/>
          <w:sz w:val="19"/>
        </w:rPr>
        <w:t>Design-Builder shall prepare and update a coordinated schedule showing design decisions, Owner reviews, permits, procurement, construction, Substantial Completion, and Final Completion. Design-Builder shall perform in general accordance with the most recent accepted schedule, subject to authorized adjustments.</w:t>
      </w:r>
    </w:p>
    <w:p>
      <w:pPr>
        <w:keepNext w:val="0"/>
        <w:keepLines/>
        <w:widowControl/>
        <w:spacing w:before="0" w:after="110" w:lineRule="auto" w:line="252"/>
      </w:pPr>
      <w:r>
        <w:rPr>
          <w:rFonts w:ascii="Arial" w:hAnsi="Arial"/>
          <w:b/>
          <w:i w:val="0"/>
          <w:color w:val="1F2937"/>
          <w:sz w:val="19"/>
        </w:rPr>
        <w:t xml:space="preserve">3.7  Submittals.  </w:t>
      </w:r>
      <w:r>
        <w:rPr>
          <w:rFonts w:ascii="Arial" w:hAnsi="Arial"/>
          <w:b w:val="0"/>
          <w:i w:val="0"/>
          <w:color w:val="111111"/>
          <w:sz w:val="19"/>
        </w:rPr>
        <w:t>Design-Builder shall maintain a submittal schedule and shall review and coordinate shop drawings, product data, samples, delegated design, and other submittals before required Owner review. Owner review is for general alignment with the Contract Documents and does not relieve Design-Builder of responsibility for coordination, dimensions, quantities, safety, means and methods, or professional services.</w:t>
      </w:r>
    </w:p>
    <w:p>
      <w:pPr>
        <w:keepNext w:val="0"/>
        <w:keepLines/>
        <w:widowControl/>
        <w:spacing w:before="0" w:after="110" w:lineRule="auto" w:line="252"/>
      </w:pPr>
      <w:r>
        <w:rPr>
          <w:rFonts w:ascii="Arial" w:hAnsi="Arial"/>
          <w:b/>
          <w:i w:val="0"/>
          <w:color w:val="1F2937"/>
          <w:sz w:val="19"/>
        </w:rPr>
        <w:t xml:space="preserve">3.8  Warranty.  </w:t>
      </w:r>
      <w:r>
        <w:rPr>
          <w:rFonts w:ascii="Arial" w:hAnsi="Arial"/>
          <w:b w:val="0"/>
          <w:i w:val="0"/>
          <w:color w:val="111111"/>
          <w:sz w:val="19"/>
        </w:rPr>
        <w:t>Design-Builder warrants that construction materials and equipment will be new unless otherwise permitted, of good quality, and free from material defects not inherent in the specified quality, and that construction will conform to the Contract Documents. Professional services are governed by the professional standard of care rather than this construction warranty.</w:t>
      </w:r>
    </w:p>
    <w:p>
      <w:pPr>
        <w:keepNext w:val="0"/>
        <w:keepLines/>
        <w:widowControl/>
        <w:spacing w:before="0" w:after="110" w:lineRule="auto" w:line="252"/>
      </w:pPr>
      <w:r>
        <w:rPr>
          <w:rFonts w:ascii="Arial" w:hAnsi="Arial"/>
          <w:b/>
          <w:i w:val="0"/>
          <w:color w:val="1F2937"/>
          <w:sz w:val="19"/>
        </w:rPr>
        <w:t xml:space="preserve">3.9  Royalties and Intellectual Property Claims.  </w:t>
      </w:r>
      <w:r>
        <w:rPr>
          <w:rFonts w:ascii="Arial" w:hAnsi="Arial"/>
          <w:b w:val="0"/>
          <w:i w:val="0"/>
          <w:color w:val="111111"/>
          <w:sz w:val="19"/>
        </w:rPr>
        <w:t>Design-Builder shall pay royalties and license fees for items selected by Design-Builder. Each party is responsible for intellectual-property claims arising from requirements, designs, specifications, or materials it furnished, except to the extent the other party knew of an infringement and failed to provide notice.</w:t>
      </w:r>
    </w:p>
    <w:p>
      <w:pPr>
        <w:keepNext w:val="0"/>
        <w:keepLines/>
        <w:widowControl/>
        <w:spacing w:before="0" w:after="110" w:lineRule="auto" w:line="252"/>
      </w:pPr>
      <w:r>
        <w:rPr>
          <w:rFonts w:ascii="Arial" w:hAnsi="Arial"/>
          <w:b/>
          <w:i w:val="0"/>
          <w:color w:val="1F2937"/>
          <w:sz w:val="19"/>
        </w:rPr>
        <w:t xml:space="preserve">3.10  Indemnification.  </w:t>
      </w:r>
      <w:r>
        <w:rPr>
          <w:rFonts w:ascii="Arial" w:hAnsi="Arial"/>
          <w:b w:val="0"/>
          <w:i w:val="0"/>
          <w:color w:val="111111"/>
          <w:sz w:val="19"/>
        </w:rPr>
        <w:t>To the fullest extent permitted by law, Design-Builder shall indemnify Owner from third-party claims for bodily injury or tangible property damage, but only to the extent caused by the negligent acts or omissions of Design-Builder or those for whom it is responsible. Owner shall indemnify Design-Builder on the same basis for the negligent acts or omissions of Owner or Owner's separate contractors. No party is required to indemnify another for the indemnitee's own negligence where prohibited by law.</w:t>
      </w:r>
    </w:p>
    <w:p>
      <w:pPr>
        <w:keepNext w:val="0"/>
        <w:keepLines/>
        <w:widowControl/>
        <w:spacing w:before="0" w:after="110" w:lineRule="auto" w:line="252"/>
      </w:pPr>
      <w:r>
        <w:rPr>
          <w:rFonts w:ascii="Arial" w:hAnsi="Arial"/>
          <w:b/>
          <w:i w:val="0"/>
          <w:color w:val="1F2937"/>
          <w:sz w:val="19"/>
        </w:rPr>
        <w:t xml:space="preserve">3.11  Contingent Assignment.  </w:t>
      </w:r>
      <w:r>
        <w:rPr>
          <w:rFonts w:ascii="Arial" w:hAnsi="Arial"/>
          <w:b w:val="0"/>
          <w:i w:val="0"/>
          <w:color w:val="111111"/>
          <w:sz w:val="19"/>
        </w:rPr>
        <w:t>Design-Builder's subcontracts and consultant agreements are conditionally assigned to Owner, effective only if Owner terminates Design-Builder for cause, accepts the assignment in writing, and assumes Design-Builder's obligations arising after acceptance. Owner may direct reasonable provisions supporting this assignment.</w:t>
      </w:r>
    </w:p>
    <w:p>
      <w:pPr>
        <w:keepNext w:val="0"/>
        <w:keepLines/>
        <w:widowControl/>
        <w:spacing w:before="0" w:after="110" w:lineRule="auto" w:line="252"/>
      </w:pPr>
      <w:r>
        <w:rPr>
          <w:rFonts w:ascii="Arial" w:hAnsi="Arial"/>
          <w:b/>
          <w:i w:val="0"/>
          <w:color w:val="1F2937"/>
          <w:sz w:val="19"/>
        </w:rPr>
        <w:t xml:space="preserve">3.12  Insurance and Bonds.  </w:t>
      </w:r>
      <w:r>
        <w:rPr>
          <w:rFonts w:ascii="Arial" w:hAnsi="Arial"/>
          <w:b w:val="0"/>
          <w:i w:val="0"/>
          <w:color w:val="111111"/>
          <w:sz w:val="19"/>
        </w:rPr>
        <w:t>Before Phase One exposure begins, Design-Builder and its Design Professionals shall maintain insurance appropriate to their services. Construction-phase limits, builder's risk, additional-insured requirements, waivers of subrogation, and any payment or performance bonds shall be stated in Exhibit A and must be in place before the related exposure begins.</w:t>
      </w:r>
    </w:p>
    <w:p>
      <w:pPr>
        <w:pStyle w:val="Heading1"/>
        <w:keepNext/>
      </w:pPr>
      <w:r>
        <w:rPr>
          <w:rFonts w:ascii="Arial" w:hAnsi="Arial"/>
          <w:b/>
          <w:i w:val="0"/>
          <w:color w:val="922E26"/>
          <w:sz w:val="27"/>
        </w:rPr>
        <w:t>ARTICLE 4  |  WORK BEFORE EXECUTION OF EXHIBIT A</w:t>
      </w:r>
    </w:p>
    <w:p>
      <w:pPr>
        <w:keepNext w:val="0"/>
        <w:keepLines/>
        <w:widowControl/>
        <w:spacing w:before="0" w:after="110" w:lineRule="auto" w:line="252"/>
      </w:pPr>
      <w:r>
        <w:rPr>
          <w:rFonts w:ascii="Arial" w:hAnsi="Arial"/>
          <w:b/>
          <w:i w:val="0"/>
          <w:color w:val="1F2937"/>
          <w:sz w:val="19"/>
        </w:rPr>
        <w:t xml:space="preserve">4.1  Purpose.  </w:t>
      </w:r>
      <w:r>
        <w:rPr>
          <w:rFonts w:ascii="Arial" w:hAnsi="Arial"/>
          <w:b w:val="0"/>
          <w:i w:val="0"/>
          <w:color w:val="111111"/>
          <w:sz w:val="19"/>
        </w:rPr>
        <w:t>Information submitted and interim decisions made during Phase One facilitate design and pricing. They do not modify the Owner's Criteria or authorize construction unless documented by a signed Modification or early-work authorization.</w:t>
      </w:r>
    </w:p>
    <w:p>
      <w:pPr>
        <w:keepNext w:val="0"/>
        <w:keepLines/>
        <w:widowControl/>
        <w:spacing w:before="0" w:after="110" w:lineRule="auto" w:line="252"/>
      </w:pPr>
      <w:r>
        <w:rPr>
          <w:rFonts w:ascii="Arial" w:hAnsi="Arial"/>
          <w:b/>
          <w:i w:val="0"/>
          <w:color w:val="1F2937"/>
          <w:sz w:val="19"/>
        </w:rPr>
        <w:t xml:space="preserve">4.2  Evaluation of Owner's Criteria.  </w:t>
      </w:r>
      <w:r>
        <w:rPr>
          <w:rFonts w:ascii="Arial" w:hAnsi="Arial"/>
          <w:b w:val="0"/>
          <w:i w:val="0"/>
          <w:color w:val="111111"/>
          <w:sz w:val="19"/>
        </w:rPr>
        <w:t>Design-Builder shall meet with Owner and evaluate the Owner's Criteria, site information, code and permitting path, program, budget, schedule, constructability, procurement, design alternatives, phasing, and material risks. Design-Builder shall provide a written summary of its evaluation and identified decisions.</w:t>
      </w:r>
    </w:p>
    <w:p>
      <w:pPr>
        <w:keepNext w:val="0"/>
        <w:keepLines/>
        <w:widowControl/>
        <w:spacing w:before="0" w:after="110" w:lineRule="auto" w:line="252"/>
      </w:pPr>
      <w:r>
        <w:rPr>
          <w:rFonts w:ascii="Arial" w:hAnsi="Arial"/>
          <w:b/>
          <w:i w:val="0"/>
          <w:color w:val="1F2937"/>
          <w:sz w:val="19"/>
        </w:rPr>
        <w:t xml:space="preserve">4.3  Preliminary Report.  </w:t>
      </w:r>
      <w:r>
        <w:rPr>
          <w:rFonts w:ascii="Arial" w:hAnsi="Arial"/>
          <w:b w:val="0"/>
          <w:i w:val="0"/>
          <w:color w:val="111111"/>
          <w:sz w:val="19"/>
        </w:rPr>
        <w:t>The preliminary report shall address program allocation, a preliminary estimate, a preliminary design and procurement schedule, Owner decision dates, material assumptions, known exclusions, and recommendations needed to align the Project with the approved budget and schedule.</w:t>
      </w:r>
    </w:p>
    <w:p>
      <w:pPr>
        <w:keepNext w:val="0"/>
        <w:keepLines/>
        <w:widowControl/>
        <w:spacing w:before="0" w:after="110" w:lineRule="auto" w:line="252"/>
      </w:pPr>
      <w:r>
        <w:rPr>
          <w:rFonts w:ascii="Arial" w:hAnsi="Arial"/>
          <w:b/>
          <w:i w:val="0"/>
          <w:color w:val="1F2937"/>
          <w:sz w:val="19"/>
        </w:rPr>
        <w:t xml:space="preserve">4.4  Preliminary Design.  </w:t>
      </w:r>
      <w:r>
        <w:rPr>
          <w:rFonts w:ascii="Arial" w:hAnsi="Arial"/>
          <w:b w:val="0"/>
          <w:i w:val="0"/>
          <w:color w:val="111111"/>
          <w:sz w:val="19"/>
        </w:rPr>
        <w:t>After Owner's written consent to proceed, Design-Builder shall prepare the Phase One design deliverables selected in Article 2. The submission shall identify deviations from Owner's Criteria and, as applicable, include site planning, floor plans, elevations, sections, structural concept, major building systems, outline specifications, and other agreed information sufficient for pricing and Owner review.</w:t>
      </w:r>
    </w:p>
    <w:p>
      <w:pPr>
        <w:keepNext w:val="0"/>
        <w:keepLines/>
        <w:widowControl/>
        <w:spacing w:before="0" w:after="110" w:lineRule="auto" w:line="252"/>
      </w:pPr>
      <w:r>
        <w:rPr>
          <w:rFonts w:ascii="Arial" w:hAnsi="Arial"/>
          <w:b/>
          <w:i w:val="0"/>
          <w:color w:val="1F2937"/>
          <w:sz w:val="19"/>
        </w:rPr>
        <w:t xml:space="preserve">4.5  Owner Review and Decisions.  </w:t>
      </w:r>
      <w:r>
        <w:rPr>
          <w:rFonts w:ascii="Arial" w:hAnsi="Arial"/>
          <w:b w:val="0"/>
          <w:i w:val="0"/>
          <w:color w:val="111111"/>
          <w:sz w:val="19"/>
        </w:rPr>
        <w:t>Owner shall review submissions promptly, provide consolidated comments, make required selections, and give written consent to advance. Owner review does not constitute a technical or code review. A late decision or material revision may require an adjustment to Phase One compensation or schedule.</w:t>
      </w:r>
    </w:p>
    <w:p>
      <w:pPr>
        <w:keepNext w:val="0"/>
        <w:keepLines/>
        <w:widowControl/>
        <w:spacing w:before="0" w:after="110" w:lineRule="auto" w:line="252"/>
      </w:pPr>
      <w:r>
        <w:rPr>
          <w:rFonts w:ascii="Arial" w:hAnsi="Arial"/>
          <w:b/>
          <w:i w:val="0"/>
          <w:color w:val="1F2937"/>
          <w:sz w:val="19"/>
        </w:rPr>
        <w:t xml:space="preserve">4.6  GMP Proposal.  </w:t>
      </w:r>
      <w:r>
        <w:rPr>
          <w:rFonts w:ascii="Arial" w:hAnsi="Arial"/>
          <w:b w:val="0"/>
          <w:i w:val="0"/>
          <w:color w:val="111111"/>
          <w:sz w:val="19"/>
        </w:rPr>
        <w:t>After Owner accepts the agreed level of design development, Design-Builder shall submit a GMP proposal stating the proposed GMP and Contract Time and identifying the pricing documents, assumptions, clarifications, exclusions, allowances, contingencies, alternates, unit prices, Design-Builder's Fee, general conditions, insurance and bonds, permit and tax treatment, key personnel, major trade coverage, and proposal expiration date.</w:t>
      </w:r>
    </w:p>
    <w:p>
      <w:pPr>
        <w:keepNext w:val="0"/>
        <w:keepLines/>
        <w:widowControl/>
        <w:spacing w:before="0" w:after="110" w:lineRule="auto" w:line="252"/>
      </w:pPr>
      <w:r>
        <w:rPr>
          <w:rFonts w:ascii="Arial" w:hAnsi="Arial"/>
          <w:b/>
          <w:i w:val="0"/>
          <w:color w:val="1F2937"/>
          <w:sz w:val="19"/>
        </w:rPr>
        <w:t xml:space="preserve">4.7  Exhibit A.  </w:t>
      </w:r>
      <w:r>
        <w:rPr>
          <w:rFonts w:ascii="Arial" w:hAnsi="Arial"/>
          <w:b w:val="0"/>
          <w:i w:val="0"/>
          <w:color w:val="111111"/>
          <w:sz w:val="19"/>
        </w:rPr>
        <w:t>If Owner accepts the GMP proposal, the parties shall complete and execute Exhibit A. Exhibit A establishes the Contract Sum and Contract Time, identifies the controlling pricing and design basis, and authorizes Work after the amendment. Until Exhibit A is executed, Design-Builder has no obligation to perform general construction and Owner has no obligation to pay a construction Contract Sum.</w:t>
      </w:r>
    </w:p>
    <w:p>
      <w:pPr>
        <w:keepNext w:val="0"/>
        <w:keepLines/>
        <w:widowControl/>
        <w:spacing w:before="0" w:after="110" w:lineRule="auto" w:line="252"/>
      </w:pPr>
      <w:r>
        <w:rPr>
          <w:rFonts w:ascii="Arial" w:hAnsi="Arial"/>
          <w:b/>
          <w:i w:val="0"/>
          <w:color w:val="1F2937"/>
          <w:sz w:val="19"/>
        </w:rPr>
        <w:t xml:space="preserve">4.8  Early Work.  </w:t>
      </w:r>
      <w:r>
        <w:rPr>
          <w:rFonts w:ascii="Arial" w:hAnsi="Arial"/>
          <w:b w:val="0"/>
          <w:i w:val="0"/>
          <w:color w:val="111111"/>
          <w:sz w:val="19"/>
        </w:rPr>
        <w:t>Before Exhibit A, Owner may authorize a limited early-work package only by a separate writing signed by both parties stating its scope, price or pricing method, schedule, insurance, bonds, assumptions, and effect on the later GMP. Early Work becomes part of the Contract and shall be accounted for in Exhibit A.</w:t>
      </w:r>
    </w:p>
    <w:p>
      <w:pPr>
        <w:pStyle w:val="Heading1"/>
        <w:keepNext/>
      </w:pPr>
      <w:r>
        <w:rPr>
          <w:rFonts w:ascii="Arial" w:hAnsi="Arial"/>
          <w:b/>
          <w:i w:val="0"/>
          <w:color w:val="922E26"/>
          <w:sz w:val="27"/>
        </w:rPr>
        <w:t>ARTICLE 5  |  WORK AFTER EXECUTION OF EXHIBIT A</w:t>
      </w:r>
    </w:p>
    <w:p>
      <w:pPr>
        <w:keepNext w:val="0"/>
        <w:keepLines/>
        <w:widowControl/>
        <w:spacing w:before="0" w:after="110" w:lineRule="auto" w:line="252"/>
      </w:pPr>
      <w:r>
        <w:rPr>
          <w:rFonts w:ascii="Arial" w:hAnsi="Arial"/>
          <w:b/>
          <w:i w:val="0"/>
          <w:color w:val="1F2937"/>
          <w:sz w:val="19"/>
        </w:rPr>
        <w:t xml:space="preserve">5.1  Construction Documents.  </w:t>
      </w:r>
      <w:r>
        <w:rPr>
          <w:rFonts w:ascii="Arial" w:hAnsi="Arial"/>
          <w:b w:val="0"/>
          <w:i w:val="0"/>
          <w:color w:val="111111"/>
          <w:sz w:val="19"/>
        </w:rPr>
        <w:t>After Exhibit A, Design-Builder shall complete Construction Documents consistent with the Owner's Criteria and the pricing basis identified in Exhibit A. Owner may review them for general alignment. Design development within the priced basis is included; a material change in criteria, law, disclosed conditions, or the agreed basis is processed under Article 6.</w:t>
      </w:r>
    </w:p>
    <w:p>
      <w:pPr>
        <w:keepNext w:val="0"/>
        <w:keepLines/>
        <w:widowControl/>
        <w:spacing w:before="0" w:after="110" w:lineRule="auto" w:line="252"/>
      </w:pPr>
      <w:r>
        <w:rPr>
          <w:rFonts w:ascii="Arial" w:hAnsi="Arial"/>
          <w:b/>
          <w:i w:val="0"/>
          <w:color w:val="1F2937"/>
          <w:sz w:val="19"/>
        </w:rPr>
        <w:t xml:space="preserve">5.2  Commencement and Supervision.  </w:t>
      </w:r>
      <w:r>
        <w:rPr>
          <w:rFonts w:ascii="Arial" w:hAnsi="Arial"/>
          <w:b w:val="0"/>
          <w:i w:val="0"/>
          <w:color w:val="111111"/>
          <w:sz w:val="19"/>
        </w:rPr>
        <w:t>Construction shall not begin until the conditions stated in Exhibit A are satisfied. Design-Builder shall supervise and direct the Work and is responsible for construction means, methods, techniques, sequences, procedures, coordination, and site safety, except for a method expressly required by Owner over Design-Builder's written objection.</w:t>
      </w:r>
    </w:p>
    <w:p>
      <w:pPr>
        <w:keepNext w:val="0"/>
        <w:keepLines/>
        <w:widowControl/>
        <w:spacing w:before="0" w:after="110" w:lineRule="auto" w:line="252"/>
      </w:pPr>
      <w:r>
        <w:rPr>
          <w:rFonts w:ascii="Arial" w:hAnsi="Arial"/>
          <w:b/>
          <w:i w:val="0"/>
          <w:color w:val="1F2937"/>
          <w:sz w:val="19"/>
        </w:rPr>
        <w:t xml:space="preserve">5.3  Labor and Materials.  </w:t>
      </w:r>
      <w:r>
        <w:rPr>
          <w:rFonts w:ascii="Arial" w:hAnsi="Arial"/>
          <w:b w:val="0"/>
          <w:i w:val="0"/>
          <w:color w:val="111111"/>
          <w:sz w:val="19"/>
        </w:rPr>
        <w:t>Design-Builder shall furnish and pay for the labor, materials, equipment, temporary facilities, supervision, and services included in the Contract. Substitutions affecting appearance, performance, maintenance, warranty, code compliance, price, or time require documented review and Owner approval.</w:t>
      </w:r>
    </w:p>
    <w:p>
      <w:pPr>
        <w:keepNext w:val="0"/>
        <w:keepLines/>
        <w:widowControl/>
        <w:spacing w:before="0" w:after="110" w:lineRule="auto" w:line="252"/>
      </w:pPr>
      <w:r>
        <w:rPr>
          <w:rFonts w:ascii="Arial" w:hAnsi="Arial"/>
          <w:b/>
          <w:i w:val="0"/>
          <w:color w:val="1F2937"/>
          <w:sz w:val="19"/>
        </w:rPr>
        <w:t xml:space="preserve">5.4  Taxes, Permits, and Fees.  </w:t>
      </w:r>
      <w:r>
        <w:rPr>
          <w:rFonts w:ascii="Arial" w:hAnsi="Arial"/>
          <w:b w:val="0"/>
          <w:i w:val="0"/>
          <w:color w:val="111111"/>
          <w:sz w:val="19"/>
        </w:rPr>
        <w:t>The parties' responsibility for sales and use taxes, permits, licenses, inspections, utility charges, tap fees, impact fees, and similar costs is stated in Exhibit A. A new or changed governmental requirement after the pricing date is treated as a Change to the extent it affects cost or time and was not caused by Design-Builder's noncompliance.</w:t>
      </w:r>
    </w:p>
    <w:p>
      <w:pPr>
        <w:keepNext w:val="0"/>
        <w:keepLines/>
        <w:widowControl/>
        <w:spacing w:before="0" w:after="110" w:lineRule="auto" w:line="252"/>
      </w:pPr>
      <w:r>
        <w:rPr>
          <w:rFonts w:ascii="Arial" w:hAnsi="Arial"/>
          <w:b/>
          <w:i w:val="0"/>
          <w:color w:val="1F2937"/>
          <w:sz w:val="19"/>
        </w:rPr>
        <w:t xml:space="preserve">5.5  Concealed or Unknown Conditions.  </w:t>
      </w:r>
      <w:r>
        <w:rPr>
          <w:rFonts w:ascii="Arial" w:hAnsi="Arial"/>
          <w:b w:val="0"/>
          <w:i w:val="0"/>
          <w:color w:val="111111"/>
          <w:sz w:val="19"/>
        </w:rPr>
        <w:t>If concealed or unknown physical conditions materially differ from those reasonably inferable from the Contract Documents, disclosed information, and ordinary conditions for comparable work, Design-Builder shall protect the area and give prompt notice before disturbance when practicable. The parties shall equitably adjust cost and time as warranted.</w:t>
      </w:r>
    </w:p>
    <w:p>
      <w:pPr>
        <w:keepNext w:val="0"/>
        <w:keepLines/>
        <w:widowControl/>
        <w:spacing w:before="0" w:after="110" w:lineRule="auto" w:line="252"/>
      </w:pPr>
      <w:r>
        <w:rPr>
          <w:rFonts w:ascii="Arial" w:hAnsi="Arial"/>
          <w:b/>
          <w:i w:val="0"/>
          <w:color w:val="1F2937"/>
          <w:sz w:val="19"/>
        </w:rPr>
        <w:t xml:space="preserve">5.6  Human Remains and Regulated Materials.  </w:t>
      </w:r>
      <w:r>
        <w:rPr>
          <w:rFonts w:ascii="Arial" w:hAnsi="Arial"/>
          <w:b w:val="0"/>
          <w:i w:val="0"/>
          <w:color w:val="111111"/>
          <w:sz w:val="19"/>
        </w:rPr>
        <w:t>On discovery of human remains, archaeological materials, wetlands, endangered species, or other legally protected conditions, Design-Builder shall stop affected Work, secure the area, and notify Owner. Owner shall obtain required professional and governmental direction unless Exhibit A expressly assigns that responsibility to Design-Builder.</w:t>
      </w:r>
    </w:p>
    <w:p>
      <w:pPr>
        <w:keepNext w:val="0"/>
        <w:keepLines/>
        <w:widowControl/>
        <w:spacing w:before="0" w:after="110" w:lineRule="auto" w:line="252"/>
      </w:pPr>
      <w:r>
        <w:rPr>
          <w:rFonts w:ascii="Arial" w:hAnsi="Arial"/>
          <w:b/>
          <w:i w:val="0"/>
          <w:color w:val="1F2937"/>
          <w:sz w:val="19"/>
        </w:rPr>
        <w:t xml:space="preserve">5.7  Allowances and Contingencies.  </w:t>
      </w:r>
      <w:r>
        <w:rPr>
          <w:rFonts w:ascii="Arial" w:hAnsi="Arial"/>
          <w:b w:val="0"/>
          <w:i w:val="0"/>
          <w:color w:val="111111"/>
          <w:sz w:val="19"/>
        </w:rPr>
        <w:t>Allowances and contingencies are governed by Exhibit A. Owner shall make selections by required dates. An allowance adjustment includes the difference between the allowance and authorized actual cost plus only the stated fee or markup. Contingency use does not expand scope and shall be reported with applications for payment.</w:t>
      </w:r>
    </w:p>
    <w:p>
      <w:pPr>
        <w:keepNext w:val="0"/>
        <w:keepLines/>
        <w:widowControl/>
        <w:spacing w:before="0" w:after="110" w:lineRule="auto" w:line="252"/>
      </w:pPr>
      <w:r>
        <w:rPr>
          <w:rFonts w:ascii="Arial" w:hAnsi="Arial"/>
          <w:b/>
          <w:i w:val="0"/>
          <w:color w:val="1F2937"/>
          <w:sz w:val="19"/>
        </w:rPr>
        <w:t xml:space="preserve">5.8  Key Participants and Procurement.  </w:t>
      </w:r>
      <w:r>
        <w:rPr>
          <w:rFonts w:ascii="Arial" w:hAnsi="Arial"/>
          <w:b w:val="0"/>
          <w:i w:val="0"/>
          <w:color w:val="111111"/>
          <w:sz w:val="19"/>
        </w:rPr>
        <w:t>Design-Builder shall retain the key personnel, Design Professionals, consultants, subcontractors, and suppliers identified in Exhibit A, subject to reasonable substitution. Owner participation in trade selection is advisory unless Exhibit A grants a specific approval right. A directed firm or rejection of Design-Builder's recommended conforming bidder entitles Design-Builder to an adjustment for resulting cost and time.</w:t>
      </w:r>
    </w:p>
    <w:p>
      <w:pPr>
        <w:keepNext w:val="0"/>
        <w:keepLines/>
        <w:widowControl/>
        <w:spacing w:before="0" w:after="110" w:lineRule="auto" w:line="252"/>
      </w:pPr>
      <w:r>
        <w:rPr>
          <w:rFonts w:ascii="Arial" w:hAnsi="Arial"/>
          <w:b/>
          <w:i w:val="0"/>
          <w:color w:val="1F2937"/>
          <w:sz w:val="19"/>
        </w:rPr>
        <w:t xml:space="preserve">5.9  Site Documents, Access, and Use.  </w:t>
      </w:r>
      <w:r>
        <w:rPr>
          <w:rFonts w:ascii="Arial" w:hAnsi="Arial"/>
          <w:b w:val="0"/>
          <w:i w:val="0"/>
          <w:color w:val="111111"/>
          <w:sz w:val="19"/>
        </w:rPr>
        <w:t>Design-Builder shall maintain current Contract Documents, approved submittals, changes, reports, and records at the site or in the agreed electronic system. Owner and its consultants may access the Work on reasonable notice without interfering with operations or assuming responsibility for safety or means and methods.</w:t>
      </w:r>
    </w:p>
    <w:p>
      <w:pPr>
        <w:keepNext w:val="0"/>
        <w:keepLines/>
        <w:widowControl/>
        <w:spacing w:before="0" w:after="110" w:lineRule="auto" w:line="252"/>
      </w:pPr>
      <w:r>
        <w:rPr>
          <w:rFonts w:ascii="Arial" w:hAnsi="Arial"/>
          <w:b/>
          <w:i w:val="0"/>
          <w:color w:val="1F2937"/>
          <w:sz w:val="19"/>
        </w:rPr>
        <w:t xml:space="preserve">5.10  Cutting, Patching, and Cleanup.  </w:t>
      </w:r>
      <w:r>
        <w:rPr>
          <w:rFonts w:ascii="Arial" w:hAnsi="Arial"/>
          <w:b w:val="0"/>
          <w:i w:val="0"/>
          <w:color w:val="111111"/>
          <w:sz w:val="19"/>
        </w:rPr>
        <w:t>Design-Builder shall perform cutting and patching required for the included Work, protect adjacent property, and keep the site reasonably free of waste. Owner is responsible for cost and delay caused by Owner's forces or separate contractors.</w:t>
      </w:r>
    </w:p>
    <w:p>
      <w:pPr>
        <w:keepNext w:val="0"/>
        <w:keepLines/>
        <w:widowControl/>
        <w:spacing w:before="0" w:after="110" w:lineRule="auto" w:line="252"/>
      </w:pPr>
      <w:r>
        <w:rPr>
          <w:rFonts w:ascii="Arial" w:hAnsi="Arial"/>
          <w:b/>
          <w:i w:val="0"/>
          <w:color w:val="1F2937"/>
          <w:sz w:val="19"/>
        </w:rPr>
        <w:t xml:space="preserve">5.11  Owner and Separate Contractors.  </w:t>
      </w:r>
      <w:r>
        <w:rPr>
          <w:rFonts w:ascii="Arial" w:hAnsi="Arial"/>
          <w:b w:val="0"/>
          <w:i w:val="0"/>
          <w:color w:val="111111"/>
          <w:sz w:val="19"/>
        </w:rPr>
        <w:t>Owner may perform work with its own forces or separate contractors. Owner shall coordinate such work with Design-Builder's schedule, require compliance with site safety and insurance requirements, and bear cost or delay caused by late, defective, or interfering separate work.</w:t>
      </w:r>
    </w:p>
    <w:p>
      <w:pPr>
        <w:pStyle w:val="Heading1"/>
        <w:keepNext/>
      </w:pPr>
      <w:r>
        <w:rPr>
          <w:rFonts w:ascii="Arial" w:hAnsi="Arial"/>
          <w:b/>
          <w:i w:val="0"/>
          <w:color w:val="922E26"/>
          <w:sz w:val="27"/>
        </w:rPr>
        <w:t>ARTICLE 6  |  CHANGES IN THE WORK</w:t>
      </w:r>
    </w:p>
    <w:p>
      <w:pPr>
        <w:keepNext w:val="0"/>
        <w:keepLines/>
        <w:widowControl/>
        <w:spacing w:before="0" w:after="110" w:lineRule="auto" w:line="252"/>
      </w:pPr>
      <w:r>
        <w:rPr>
          <w:rFonts w:ascii="Arial" w:hAnsi="Arial"/>
          <w:b/>
          <w:i w:val="0"/>
          <w:color w:val="1F2937"/>
          <w:sz w:val="19"/>
        </w:rPr>
        <w:t xml:space="preserve">6.1  Modifications.  </w:t>
      </w:r>
      <w:r>
        <w:rPr>
          <w:rFonts w:ascii="Arial" w:hAnsi="Arial"/>
          <w:b w:val="0"/>
          <w:i w:val="0"/>
          <w:color w:val="111111"/>
          <w:sz w:val="19"/>
        </w:rPr>
        <w:t>Changes may be accomplished by a written amendment, a Change Order signed by both parties, or a written directive issued under this Article. A Modification may adjust scope, price, fee, schedule, criteria, or other terms without invalidating the Contract.</w:t>
      </w:r>
    </w:p>
    <w:p>
      <w:pPr>
        <w:keepNext w:val="0"/>
        <w:keepLines/>
        <w:widowControl/>
        <w:spacing w:before="0" w:after="110" w:lineRule="auto" w:line="252"/>
      </w:pPr>
      <w:r>
        <w:rPr>
          <w:rFonts w:ascii="Arial" w:hAnsi="Arial"/>
          <w:b/>
          <w:i w:val="0"/>
          <w:color w:val="1F2937"/>
          <w:sz w:val="19"/>
        </w:rPr>
        <w:t xml:space="preserve">6.2  Change Orders.  </w:t>
      </w:r>
      <w:r>
        <w:rPr>
          <w:rFonts w:ascii="Arial" w:hAnsi="Arial"/>
          <w:b w:val="0"/>
          <w:i w:val="0"/>
          <w:color w:val="111111"/>
          <w:sz w:val="19"/>
        </w:rPr>
        <w:t>A Change Order shall state the agreed change, adjustment to the GMP or Phase One fee, adjustment to Contract Time, and any revision to the Contract Documents. The absence of a time adjustment means no adjustment only when the parties expressly so state.</w:t>
      </w:r>
    </w:p>
    <w:p>
      <w:pPr>
        <w:keepNext w:val="0"/>
        <w:keepLines/>
        <w:widowControl/>
        <w:spacing w:before="0" w:after="110" w:lineRule="auto" w:line="252"/>
      </w:pPr>
      <w:r>
        <w:rPr>
          <w:rFonts w:ascii="Arial" w:hAnsi="Arial"/>
          <w:b/>
          <w:i w:val="0"/>
          <w:color w:val="1F2937"/>
          <w:sz w:val="19"/>
        </w:rPr>
        <w:t xml:space="preserve">6.3  Written Directives.  </w:t>
      </w:r>
      <w:r>
        <w:rPr>
          <w:rFonts w:ascii="Arial" w:hAnsi="Arial"/>
          <w:b w:val="0"/>
          <w:i w:val="0"/>
          <w:color w:val="111111"/>
          <w:sz w:val="19"/>
        </w:rPr>
        <w:t>Owner may direct a change within the general scope before price and time are agreed. The directive shall identify the Work and interim pricing method. Design-Builder shall proceed only to the extent lawful and safe, maintain contemporaneous records, and submit a prompt proposal. Undisputed verified cost may be included in applications for payment.</w:t>
      </w:r>
    </w:p>
    <w:p>
      <w:pPr>
        <w:keepNext w:val="0"/>
        <w:keepLines/>
        <w:widowControl/>
        <w:spacing w:before="0" w:after="110" w:lineRule="auto" w:line="252"/>
      </w:pPr>
      <w:r>
        <w:rPr>
          <w:rFonts w:ascii="Arial" w:hAnsi="Arial"/>
          <w:b/>
          <w:i w:val="0"/>
          <w:color w:val="1F2937"/>
          <w:sz w:val="19"/>
        </w:rPr>
        <w:t xml:space="preserve">6.4  Change Pricing.  </w:t>
      </w:r>
      <w:r>
        <w:rPr>
          <w:rFonts w:ascii="Arial" w:hAnsi="Arial"/>
          <w:b w:val="0"/>
          <w:i w:val="0"/>
          <w:color w:val="111111"/>
          <w:sz w:val="19"/>
        </w:rPr>
        <w:t>Changes may be priced by agreed lump sum, unit prices, documented Cost of the Work plus the fee and markups stated in Exhibit A, or another written method. Pricing shall identify design, labor, material, equipment, subcontractor tiers, insurance, bond, tax, fee, schedule, escalation, and remobilization effects.</w:t>
      </w:r>
    </w:p>
    <w:p>
      <w:pPr>
        <w:keepNext w:val="0"/>
        <w:keepLines/>
        <w:widowControl/>
        <w:spacing w:before="0" w:after="110" w:lineRule="auto" w:line="252"/>
      </w:pPr>
      <w:r>
        <w:rPr>
          <w:rFonts w:ascii="Arial" w:hAnsi="Arial"/>
          <w:b/>
          <w:i w:val="0"/>
          <w:color w:val="1F2937"/>
          <w:sz w:val="19"/>
        </w:rPr>
        <w:t xml:space="preserve">6.5  Credits.  </w:t>
      </w:r>
      <w:r>
        <w:rPr>
          <w:rFonts w:ascii="Arial" w:hAnsi="Arial"/>
          <w:b w:val="0"/>
          <w:i w:val="0"/>
          <w:color w:val="111111"/>
          <w:sz w:val="19"/>
        </w:rPr>
        <w:t>A credit for deleted Work equals the net cost avoided after accounting for commitments, cancellation, restocking, design, schedule, remobilization, and applicable fee adjustments. No credit is due for cost already incurred or reasonably committed before authorization of the deletion.</w:t>
      </w:r>
    </w:p>
    <w:p>
      <w:pPr>
        <w:keepNext w:val="0"/>
        <w:keepLines/>
        <w:widowControl/>
        <w:spacing w:before="0" w:after="110" w:lineRule="auto" w:line="252"/>
      </w:pPr>
      <w:r>
        <w:rPr>
          <w:rFonts w:ascii="Arial" w:hAnsi="Arial"/>
          <w:b/>
          <w:i w:val="0"/>
          <w:color w:val="1F2937"/>
          <w:sz w:val="19"/>
        </w:rPr>
        <w:t xml:space="preserve">6.6  Emergency Work.  </w:t>
      </w:r>
      <w:r>
        <w:rPr>
          <w:rFonts w:ascii="Arial" w:hAnsi="Arial"/>
          <w:b w:val="0"/>
          <w:i w:val="0"/>
          <w:color w:val="111111"/>
          <w:sz w:val="19"/>
        </w:rPr>
        <w:t>In an emergency threatening persons or property, Design-Builder may act without prior approval to prevent harm, shall notify Owner promptly, and shall document reasonable cost and time. The event is treated as a Change unless caused by Design-Builder's breach.</w:t>
      </w:r>
    </w:p>
    <w:p>
      <w:pPr>
        <w:pStyle w:val="Heading1"/>
        <w:keepNext/>
      </w:pPr>
      <w:r>
        <w:rPr>
          <w:rFonts w:ascii="Arial" w:hAnsi="Arial"/>
          <w:b/>
          <w:i w:val="0"/>
          <w:color w:val="922E26"/>
          <w:sz w:val="27"/>
        </w:rPr>
        <w:t>ARTICLE 7  |  OWNER'S RESPONSIBILITIES</w:t>
      </w:r>
    </w:p>
    <w:p>
      <w:pPr>
        <w:keepNext w:val="0"/>
        <w:keepLines/>
        <w:widowControl/>
        <w:spacing w:before="0" w:after="110" w:lineRule="auto" w:line="252"/>
      </w:pPr>
      <w:r>
        <w:rPr>
          <w:rFonts w:ascii="Arial" w:hAnsi="Arial"/>
          <w:b/>
          <w:i w:val="0"/>
          <w:color w:val="1F2937"/>
          <w:sz w:val="19"/>
        </w:rPr>
        <w:t xml:space="preserve">7.1  Representative and Decisions.  </w:t>
      </w:r>
      <w:r>
        <w:rPr>
          <w:rFonts w:ascii="Arial" w:hAnsi="Arial"/>
          <w:b w:val="0"/>
          <w:i w:val="0"/>
          <w:color w:val="111111"/>
          <w:sz w:val="19"/>
        </w:rPr>
        <w:t>Owner shall designate a representative with authority to act for Owner and shall render decisions, approvals, selections, and consolidated comments with reasonable promptness and in accordance with the accepted schedule.</w:t>
      </w:r>
    </w:p>
    <w:p>
      <w:pPr>
        <w:keepNext w:val="0"/>
        <w:keepLines/>
        <w:widowControl/>
        <w:spacing w:before="0" w:after="110" w:lineRule="auto" w:line="252"/>
      </w:pPr>
      <w:r>
        <w:rPr>
          <w:rFonts w:ascii="Arial" w:hAnsi="Arial"/>
          <w:b/>
          <w:i w:val="0"/>
          <w:color w:val="1F2937"/>
          <w:sz w:val="19"/>
        </w:rPr>
        <w:t xml:space="preserve">7.2  Information and Services.  </w:t>
      </w:r>
      <w:r>
        <w:rPr>
          <w:rFonts w:ascii="Arial" w:hAnsi="Arial"/>
          <w:b w:val="0"/>
          <w:i w:val="0"/>
          <w:color w:val="111111"/>
          <w:sz w:val="19"/>
        </w:rPr>
        <w:t>Owner shall timely furnish accurate program information, surveys, legal descriptions, title information, easements, existing-condition records, hazardous-material information, geotechnical and environmental reports, utility information, and other services assigned to Owner. Design-Builder may rely on such information subject to its agreed review obligations.</w:t>
      </w:r>
    </w:p>
    <w:p>
      <w:pPr>
        <w:keepNext w:val="0"/>
        <w:keepLines/>
        <w:widowControl/>
        <w:spacing w:before="0" w:after="110" w:lineRule="auto" w:line="252"/>
      </w:pPr>
      <w:r>
        <w:rPr>
          <w:rFonts w:ascii="Arial" w:hAnsi="Arial"/>
          <w:b/>
          <w:i w:val="0"/>
          <w:color w:val="1F2937"/>
          <w:sz w:val="19"/>
        </w:rPr>
        <w:t xml:space="preserve">7.3  Financing Evidence.  </w:t>
      </w:r>
      <w:r>
        <w:rPr>
          <w:rFonts w:ascii="Arial" w:hAnsi="Arial"/>
          <w:b w:val="0"/>
          <w:i w:val="0"/>
          <w:color w:val="111111"/>
          <w:sz w:val="19"/>
        </w:rPr>
        <w:t>Before commencement of construction and thereafter upon reasonable grounds, Owner shall provide reasonable evidence that financing is available to satisfy Owner's obligations. If evidence is not provided within a reasonable time, Design-Builder may suspend affected Work after notice and receive an equitable adjustment.</w:t>
      </w:r>
    </w:p>
    <w:p>
      <w:pPr>
        <w:keepNext w:val="0"/>
        <w:keepLines/>
        <w:widowControl/>
        <w:spacing w:before="0" w:after="110" w:lineRule="auto" w:line="252"/>
      </w:pPr>
      <w:r>
        <w:rPr>
          <w:rFonts w:ascii="Arial" w:hAnsi="Arial"/>
          <w:b/>
          <w:i w:val="0"/>
          <w:color w:val="1F2937"/>
          <w:sz w:val="19"/>
        </w:rPr>
        <w:t xml:space="preserve">7.4  Permits and Legal Authorizations.  </w:t>
      </w:r>
      <w:r>
        <w:rPr>
          <w:rFonts w:ascii="Arial" w:hAnsi="Arial"/>
          <w:b w:val="0"/>
          <w:i w:val="0"/>
          <w:color w:val="111111"/>
          <w:sz w:val="19"/>
        </w:rPr>
        <w:t>Owner shall obtain easements, zoning approvals, entitlements, and legal authorizations assigned to Owner and shall cooperate with Design-Builder in obtaining permits and inspections assigned to Design-Builder.</w:t>
      </w:r>
    </w:p>
    <w:p>
      <w:pPr>
        <w:keepNext w:val="0"/>
        <w:keepLines/>
        <w:widowControl/>
        <w:spacing w:before="0" w:after="110" w:lineRule="auto" w:line="252"/>
      </w:pPr>
      <w:r>
        <w:rPr>
          <w:rFonts w:ascii="Arial" w:hAnsi="Arial"/>
          <w:b/>
          <w:i w:val="0"/>
          <w:color w:val="1F2937"/>
          <w:sz w:val="19"/>
        </w:rPr>
        <w:t xml:space="preserve">7.5  Owner Consultants and Separate Work.  </w:t>
      </w:r>
      <w:r>
        <w:rPr>
          <w:rFonts w:ascii="Arial" w:hAnsi="Arial"/>
          <w:b w:val="0"/>
          <w:i w:val="0"/>
          <w:color w:val="111111"/>
          <w:sz w:val="19"/>
        </w:rPr>
        <w:t>Owner shall require its consultants and separate contractors to coordinate with Design-Builder, comply with the integrated schedule and site rules, and maintain appropriate insurance. Owner is responsible for their acts and omissions and for resulting cost and delay.</w:t>
      </w:r>
    </w:p>
    <w:p>
      <w:pPr>
        <w:keepNext w:val="0"/>
        <w:keepLines/>
        <w:widowControl/>
        <w:spacing w:before="0" w:after="110" w:lineRule="auto" w:line="252"/>
      </w:pPr>
      <w:r>
        <w:rPr>
          <w:rFonts w:ascii="Arial" w:hAnsi="Arial"/>
          <w:b/>
          <w:i w:val="0"/>
          <w:color w:val="1F2937"/>
          <w:sz w:val="19"/>
        </w:rPr>
        <w:t xml:space="preserve">7.6  Submittal Review.  </w:t>
      </w:r>
      <w:r>
        <w:rPr>
          <w:rFonts w:ascii="Arial" w:hAnsi="Arial"/>
          <w:b w:val="0"/>
          <w:i w:val="0"/>
          <w:color w:val="111111"/>
          <w:sz w:val="19"/>
        </w:rPr>
        <w:t>Owner shall review required submittals only for general conformance with the Owner's Criteria and shall not unreasonably delay action. Owner review does not transfer Design-Builder's technical or coordination responsibilities.</w:t>
      </w:r>
    </w:p>
    <w:p>
      <w:pPr>
        <w:keepNext w:val="0"/>
        <w:keepLines/>
        <w:widowControl/>
        <w:spacing w:before="0" w:after="110" w:lineRule="auto" w:line="252"/>
      </w:pPr>
      <w:r>
        <w:rPr>
          <w:rFonts w:ascii="Arial" w:hAnsi="Arial"/>
          <w:b/>
          <w:i w:val="0"/>
          <w:color w:val="1F2937"/>
          <w:sz w:val="19"/>
        </w:rPr>
        <w:t xml:space="preserve">7.7  Right to Stop or Carry Out Work.  </w:t>
      </w:r>
      <w:r>
        <w:rPr>
          <w:rFonts w:ascii="Arial" w:hAnsi="Arial"/>
          <w:b w:val="0"/>
          <w:i w:val="0"/>
          <w:color w:val="111111"/>
          <w:sz w:val="19"/>
        </w:rPr>
        <w:t>If Design-Builder fails to correct materially nonconforming Work after written notice and reasonable opportunity to cure, Owner may order affected Work stopped or may correct the default and deduct reasonable documented cost, subject to Design-Builder's right to dispute the action under Article 14.</w:t>
      </w:r>
    </w:p>
    <w:p>
      <w:pPr>
        <w:pStyle w:val="Heading1"/>
        <w:keepNext/>
      </w:pPr>
      <w:r>
        <w:rPr>
          <w:rFonts w:ascii="Arial" w:hAnsi="Arial"/>
          <w:b/>
          <w:i w:val="0"/>
          <w:color w:val="922E26"/>
          <w:sz w:val="27"/>
        </w:rPr>
        <w:t>ARTICLE 8  |  TIME</w:t>
      </w:r>
    </w:p>
    <w:p>
      <w:pPr>
        <w:keepNext w:val="0"/>
        <w:keepLines/>
        <w:widowControl/>
        <w:spacing w:before="0" w:after="110" w:lineRule="auto" w:line="252"/>
      </w:pPr>
      <w:r>
        <w:rPr>
          <w:rFonts w:ascii="Arial" w:hAnsi="Arial"/>
          <w:b/>
          <w:i w:val="0"/>
          <w:color w:val="1F2937"/>
          <w:sz w:val="19"/>
        </w:rPr>
        <w:t xml:space="preserve">8.1  Progress and Completion.  </w:t>
      </w:r>
      <w:r>
        <w:rPr>
          <w:rFonts w:ascii="Arial" w:hAnsi="Arial"/>
          <w:b w:val="0"/>
          <w:i w:val="0"/>
          <w:color w:val="111111"/>
          <w:sz w:val="19"/>
        </w:rPr>
        <w:t>Time limits stated in the Contract Documents are material. Design-Builder shall proceed diligently and achieve the milestones stated in Exhibit A, subject to authorized adjustments. The accepted schedule is a planning and coordination tool and does not change a contractual milestone unless a signed Modification so states.</w:t>
      </w:r>
    </w:p>
    <w:p>
      <w:pPr>
        <w:keepNext w:val="0"/>
        <w:keepLines/>
        <w:widowControl/>
        <w:spacing w:before="0" w:after="110" w:lineRule="auto" w:line="252"/>
      </w:pPr>
      <w:r>
        <w:rPr>
          <w:rFonts w:ascii="Arial" w:hAnsi="Arial"/>
          <w:b/>
          <w:i w:val="0"/>
          <w:color w:val="1F2937"/>
          <w:sz w:val="19"/>
        </w:rPr>
        <w:t xml:space="preserve">8.2  Excusable Delay.  </w:t>
      </w:r>
      <w:r>
        <w:rPr>
          <w:rFonts w:ascii="Arial" w:hAnsi="Arial"/>
          <w:b w:val="0"/>
          <w:i w:val="0"/>
          <w:color w:val="111111"/>
          <w:sz w:val="19"/>
        </w:rPr>
        <w:t>Design-Builder is entitled to a reasonable extension for delay beyond its reasonable control, including Owner acts or omissions, changes, differing conditions, labor disputes not limited to Design-Builder, unavoidable transportation interruption, abnormal weather, epidemic, governmental action, utility delay, casualty, and other force majeure events.</w:t>
      </w:r>
    </w:p>
    <w:p>
      <w:pPr>
        <w:keepNext w:val="0"/>
        <w:keepLines/>
        <w:widowControl/>
        <w:spacing w:before="0" w:after="110" w:lineRule="auto" w:line="252"/>
      </w:pPr>
      <w:r>
        <w:rPr>
          <w:rFonts w:ascii="Arial" w:hAnsi="Arial"/>
          <w:b/>
          <w:i w:val="0"/>
          <w:color w:val="1F2937"/>
          <w:sz w:val="19"/>
        </w:rPr>
        <w:t xml:space="preserve">8.3  Compensable Delay.  </w:t>
      </w:r>
      <w:r>
        <w:rPr>
          <w:rFonts w:ascii="Arial" w:hAnsi="Arial"/>
          <w:b w:val="0"/>
          <w:i w:val="0"/>
          <w:color w:val="111111"/>
          <w:sz w:val="19"/>
        </w:rPr>
        <w:t>Design-Builder is entitled to an equitable adjustment of cost as well as time when delay is caused by Owner, Owner's separate contractors, a compensable Change, suspension not caused by Design-Builder, or another event expressly identified as compensable in Exhibit A. Concurrent delay is allocated to the extent each party materially caused the critical delay.</w:t>
      </w:r>
    </w:p>
    <w:p>
      <w:pPr>
        <w:keepNext w:val="0"/>
        <w:keepLines/>
        <w:widowControl/>
        <w:spacing w:before="0" w:after="110" w:lineRule="auto" w:line="252"/>
      </w:pPr>
      <w:r>
        <w:rPr>
          <w:rFonts w:ascii="Arial" w:hAnsi="Arial"/>
          <w:b/>
          <w:i w:val="0"/>
          <w:color w:val="1F2937"/>
          <w:sz w:val="19"/>
        </w:rPr>
        <w:t xml:space="preserve">8.4  Delay Notice and Mitigation.  </w:t>
      </w:r>
      <w:r>
        <w:rPr>
          <w:rFonts w:ascii="Arial" w:hAnsi="Arial"/>
          <w:b w:val="0"/>
          <w:i w:val="0"/>
          <w:color w:val="111111"/>
          <w:sz w:val="19"/>
        </w:rPr>
        <w:t>A party claiming delay shall provide reasonably prompt written notice, identify known schedule effect, update the information as it develops, and use reasonable efforts to mitigate. Late notice reduces recovery only to the extent the other party is materially prejudiced, unless mandatory law requires otherwise.</w:t>
      </w:r>
    </w:p>
    <w:p>
      <w:pPr>
        <w:pStyle w:val="Heading1"/>
        <w:keepNext/>
      </w:pPr>
      <w:r>
        <w:rPr>
          <w:rFonts w:ascii="Arial" w:hAnsi="Arial"/>
          <w:b/>
          <w:i w:val="0"/>
          <w:color w:val="922E26"/>
          <w:sz w:val="27"/>
        </w:rPr>
        <w:t>ARTICLE 9  |  APPLICATIONS FOR PAYMENT AND PROJECT COMPLETION</w:t>
      </w:r>
    </w:p>
    <w:p>
      <w:pPr>
        <w:keepNext w:val="0"/>
        <w:keepLines/>
        <w:widowControl/>
        <w:spacing w:before="0" w:after="110" w:lineRule="auto" w:line="252"/>
      </w:pPr>
      <w:r>
        <w:rPr>
          <w:rFonts w:ascii="Arial" w:hAnsi="Arial"/>
          <w:b/>
          <w:i w:val="0"/>
          <w:color w:val="1F2937"/>
          <w:sz w:val="19"/>
        </w:rPr>
        <w:t xml:space="preserve">9.1  Contract Sum.  </w:t>
      </w:r>
      <w:r>
        <w:rPr>
          <w:rFonts w:ascii="Arial" w:hAnsi="Arial"/>
          <w:b w:val="0"/>
          <w:i w:val="0"/>
          <w:color w:val="111111"/>
          <w:sz w:val="19"/>
        </w:rPr>
        <w:t>After execution of Exhibit A, Owner shall pay Design-Builder the adjusted GMP in current funds for performance of the Work. The GMP does not include Phase One compensation already paid unless Exhibit A expressly states a credit or inclusion.</w:t>
      </w:r>
    </w:p>
    <w:p>
      <w:pPr>
        <w:keepNext w:val="0"/>
        <w:keepLines/>
        <w:widowControl/>
        <w:spacing w:before="0" w:after="110" w:lineRule="auto" w:line="252"/>
      </w:pPr>
      <w:r>
        <w:rPr>
          <w:rFonts w:ascii="Arial" w:hAnsi="Arial"/>
          <w:b/>
          <w:i w:val="0"/>
          <w:color w:val="1F2937"/>
          <w:sz w:val="19"/>
        </w:rPr>
        <w:t xml:space="preserve">9.2  Schedule of Values.  </w:t>
      </w:r>
      <w:r>
        <w:rPr>
          <w:rFonts w:ascii="Arial" w:hAnsi="Arial"/>
          <w:b w:val="0"/>
          <w:i w:val="0"/>
          <w:color w:val="111111"/>
          <w:sz w:val="19"/>
        </w:rPr>
        <w:t>Before the first construction application for payment, Design-Builder shall submit a schedule of values allocating the entire GMP among design, general conditions, fee, trade work, allowances, contingencies, and other components. The accepted schedule of values is the basis for progress billing and does not change the GMP or scope.</w:t>
      </w:r>
    </w:p>
    <w:p>
      <w:pPr>
        <w:keepNext w:val="0"/>
        <w:keepLines/>
        <w:widowControl/>
        <w:spacing w:before="0" w:after="110" w:lineRule="auto" w:line="252"/>
      </w:pPr>
      <w:r>
        <w:rPr>
          <w:rFonts w:ascii="Arial" w:hAnsi="Arial"/>
          <w:b/>
          <w:i w:val="0"/>
          <w:color w:val="1F2937"/>
          <w:sz w:val="19"/>
        </w:rPr>
        <w:t xml:space="preserve">9.3  Applications for Payment.  </w:t>
      </w:r>
      <w:r>
        <w:rPr>
          <w:rFonts w:ascii="Arial" w:hAnsi="Arial"/>
          <w:b w:val="0"/>
          <w:i w:val="0"/>
          <w:color w:val="111111"/>
          <w:sz w:val="19"/>
        </w:rPr>
        <w:t>Design-Builder shall submit monthly applications in the form and by the date stated in Exhibit A, supported by the current schedule of values, cost records, change log, allowance and contingency log, stored-material documentation, lien waivers, and other agreed evidence. Owner shall pay undisputed amounts within the period stated in Exhibit A.</w:t>
      </w:r>
    </w:p>
    <w:p>
      <w:pPr>
        <w:keepNext w:val="0"/>
        <w:keepLines/>
        <w:widowControl/>
        <w:spacing w:before="0" w:after="110" w:lineRule="auto" w:line="252"/>
      </w:pPr>
      <w:r>
        <w:rPr>
          <w:rFonts w:ascii="Arial" w:hAnsi="Arial"/>
          <w:b/>
          <w:i w:val="0"/>
          <w:color w:val="1F2937"/>
          <w:sz w:val="19"/>
        </w:rPr>
        <w:t xml:space="preserve">9.4  Payment Calculation.  </w:t>
      </w:r>
      <w:r>
        <w:rPr>
          <w:rFonts w:ascii="Arial" w:hAnsi="Arial"/>
          <w:b w:val="0"/>
          <w:i w:val="0"/>
          <w:color w:val="111111"/>
          <w:sz w:val="19"/>
        </w:rPr>
        <w:t>For a GMP, progress payment is based on the percentage of completed Work, eligible stored materials, properly incurred Cost of the Work, Design-Builder's Fee, approved changes, and other amounts due, less previous payments, retainage, and properly withheld amounts. Owner may rely on submitted information without assuming responsibility for construction means, methods, or lower-tier payment administration.</w:t>
      </w:r>
    </w:p>
    <w:p>
      <w:pPr>
        <w:keepNext w:val="0"/>
        <w:keepLines/>
        <w:widowControl/>
        <w:spacing w:before="0" w:after="110" w:lineRule="auto" w:line="252"/>
      </w:pPr>
      <w:r>
        <w:rPr>
          <w:rFonts w:ascii="Arial" w:hAnsi="Arial"/>
          <w:b/>
          <w:i w:val="0"/>
          <w:color w:val="1F2937"/>
          <w:sz w:val="19"/>
        </w:rPr>
        <w:t xml:space="preserve">9.5  Withholding.  </w:t>
      </w:r>
      <w:r>
        <w:rPr>
          <w:rFonts w:ascii="Arial" w:hAnsi="Arial"/>
          <w:b w:val="0"/>
          <w:i w:val="0"/>
          <w:color w:val="111111"/>
          <w:sz w:val="19"/>
        </w:rPr>
        <w:t>Owner may withhold only the amount reasonably necessary to protect against documented defective Work, third-party claims, failure to pay lower tiers, material schedule default, damage, or other material breach. Owner shall give prompt written reasons and shall release amounts when the basis is cured or adequate security is provided.</w:t>
      </w:r>
    </w:p>
    <w:p>
      <w:pPr>
        <w:keepNext w:val="0"/>
        <w:keepLines/>
        <w:widowControl/>
        <w:spacing w:before="0" w:after="110" w:lineRule="auto" w:line="252"/>
      </w:pPr>
      <w:r>
        <w:rPr>
          <w:rFonts w:ascii="Arial" w:hAnsi="Arial"/>
          <w:b/>
          <w:i w:val="0"/>
          <w:color w:val="1F2937"/>
          <w:sz w:val="19"/>
        </w:rPr>
        <w:t xml:space="preserve">9.6  Stored Materials.  </w:t>
      </w:r>
      <w:r>
        <w:rPr>
          <w:rFonts w:ascii="Arial" w:hAnsi="Arial"/>
          <w:b w:val="0"/>
          <w:i w:val="0"/>
          <w:color w:val="111111"/>
          <w:sz w:val="19"/>
        </w:rPr>
        <w:t>Payment for stored materials is allowed only under the conditions stated in Exhibit A, including title, identification, insurance, segregation, security, inspection, and delivery. Payment does not relieve Design-Builder of custody, protection, installation, or warranty responsibility.</w:t>
      </w:r>
    </w:p>
    <w:p>
      <w:pPr>
        <w:keepNext w:val="0"/>
        <w:keepLines/>
        <w:widowControl/>
        <w:spacing w:before="0" w:after="110" w:lineRule="auto" w:line="252"/>
      </w:pPr>
      <w:r>
        <w:rPr>
          <w:rFonts w:ascii="Arial" w:hAnsi="Arial"/>
          <w:b/>
          <w:i w:val="0"/>
          <w:color w:val="1F2937"/>
          <w:sz w:val="19"/>
        </w:rPr>
        <w:t xml:space="preserve">9.7  Substantial Completion.  </w:t>
      </w:r>
      <w:r>
        <w:rPr>
          <w:rFonts w:ascii="Arial" w:hAnsi="Arial"/>
          <w:b w:val="0"/>
          <w:i w:val="0"/>
          <w:color w:val="111111"/>
          <w:sz w:val="19"/>
        </w:rPr>
        <w:t>Substantial Completion occurs when the Work or designated portion is sufficiently complete for Owner's intended use and the prerequisites stated in Exhibit A are satisfied. Design-Builder shall submit a completion list and proposed certificate allocating security, utilities, maintenance, insurance, warranties, incomplete Work, and the deadline for completion.</w:t>
      </w:r>
    </w:p>
    <w:p>
      <w:pPr>
        <w:keepNext w:val="0"/>
        <w:keepLines/>
        <w:widowControl/>
        <w:spacing w:before="0" w:after="110" w:lineRule="auto" w:line="252"/>
      </w:pPr>
      <w:r>
        <w:rPr>
          <w:rFonts w:ascii="Arial" w:hAnsi="Arial"/>
          <w:b/>
          <w:i w:val="0"/>
          <w:color w:val="1F2937"/>
          <w:sz w:val="19"/>
        </w:rPr>
        <w:t xml:space="preserve">9.8  Partial Occupancy.  </w:t>
      </w:r>
      <w:r>
        <w:rPr>
          <w:rFonts w:ascii="Arial" w:hAnsi="Arial"/>
          <w:b w:val="0"/>
          <w:i w:val="0"/>
          <w:color w:val="111111"/>
          <w:sz w:val="19"/>
        </w:rPr>
        <w:t>Owner may occupy a completed portion by written agreement establishing condition, safety, insurance, security, utilities, maintenance, warranties, remaining Work, and responsibility for interference. Partial occupancy does not constitute acceptance of nonconforming Work.</w:t>
      </w:r>
    </w:p>
    <w:p>
      <w:pPr>
        <w:keepNext w:val="0"/>
        <w:keepLines/>
        <w:widowControl/>
        <w:spacing w:before="0" w:after="110" w:lineRule="auto" w:line="252"/>
      </w:pPr>
      <w:r>
        <w:rPr>
          <w:rFonts w:ascii="Arial" w:hAnsi="Arial"/>
          <w:b/>
          <w:i w:val="0"/>
          <w:color w:val="1F2937"/>
          <w:sz w:val="19"/>
        </w:rPr>
        <w:t xml:space="preserve">9.9  Final Completion and Payment.  </w:t>
      </w:r>
      <w:r>
        <w:rPr>
          <w:rFonts w:ascii="Arial" w:hAnsi="Arial"/>
          <w:b w:val="0"/>
          <w:i w:val="0"/>
          <w:color w:val="111111"/>
          <w:sz w:val="19"/>
        </w:rPr>
        <w:t>Final Payment is due after Final Completion, final reconciliation of Cost of the Work, delivery of required closeout, final lien documentation, consent of surety if applicable, and satisfaction of the other conditions in Exhibit A. Final Payment does not waive latent defects, warranty obligations, fraud, or claims previously reserved in writing.</w:t>
      </w:r>
    </w:p>
    <w:p>
      <w:pPr>
        <w:keepNext w:val="0"/>
        <w:keepLines/>
        <w:widowControl/>
        <w:spacing w:before="0" w:after="110" w:lineRule="auto" w:line="252"/>
      </w:pPr>
      <w:r>
        <w:rPr>
          <w:rFonts w:ascii="Arial" w:hAnsi="Arial"/>
          <w:b/>
          <w:i w:val="0"/>
          <w:color w:val="1F2937"/>
          <w:sz w:val="19"/>
        </w:rPr>
        <w:t xml:space="preserve">9.10  Nonpayment.  </w:t>
      </w:r>
      <w:r>
        <w:rPr>
          <w:rFonts w:ascii="Arial" w:hAnsi="Arial"/>
          <w:b w:val="0"/>
          <w:i w:val="0"/>
          <w:color w:val="111111"/>
          <w:sz w:val="19"/>
        </w:rPr>
        <w:t>After the applicable notice and cure period, Design-Builder may suspend affected Work for nonpayment of an undisputed amount and receive an adjustment for shutdown, delay, escalation, storage, demobilization, remobilization, and time, to the extent permitted by law.</w:t>
      </w:r>
    </w:p>
    <w:p>
      <w:pPr>
        <w:pStyle w:val="Heading1"/>
        <w:keepNext/>
      </w:pPr>
      <w:r>
        <w:rPr>
          <w:rFonts w:ascii="Arial" w:hAnsi="Arial"/>
          <w:b/>
          <w:i w:val="0"/>
          <w:color w:val="922E26"/>
          <w:sz w:val="27"/>
        </w:rPr>
        <w:t>ARTICLE 10  |  PROTECTION OF PERSONS AND PROPERTY</w:t>
      </w:r>
    </w:p>
    <w:p>
      <w:pPr>
        <w:keepNext w:val="0"/>
        <w:keepLines/>
        <w:widowControl/>
        <w:spacing w:before="0" w:after="110" w:lineRule="auto" w:line="252"/>
      </w:pPr>
      <w:r>
        <w:rPr>
          <w:rFonts w:ascii="Arial" w:hAnsi="Arial"/>
          <w:b/>
          <w:i w:val="0"/>
          <w:color w:val="1F2937"/>
          <w:sz w:val="19"/>
        </w:rPr>
        <w:t xml:space="preserve">10.1  Safety.  </w:t>
      </w:r>
      <w:r>
        <w:rPr>
          <w:rFonts w:ascii="Arial" w:hAnsi="Arial"/>
          <w:b w:val="0"/>
          <w:i w:val="0"/>
          <w:color w:val="111111"/>
          <w:sz w:val="19"/>
        </w:rPr>
        <w:t>Design-Builder is responsible for its construction safety program and precautions and for protection of its workers, the Work, and adjacent property. Each Owner separate contractor remains responsible for its own safety and shall comply with site rules. Owner shall not direct unsafe Work or assume control of means and methods.</w:t>
      </w:r>
    </w:p>
    <w:p>
      <w:pPr>
        <w:keepNext w:val="0"/>
        <w:keepLines/>
        <w:widowControl/>
        <w:spacing w:before="0" w:after="110" w:lineRule="auto" w:line="252"/>
      </w:pPr>
      <w:r>
        <w:rPr>
          <w:rFonts w:ascii="Arial" w:hAnsi="Arial"/>
          <w:b/>
          <w:i w:val="0"/>
          <w:color w:val="1F2937"/>
          <w:sz w:val="19"/>
        </w:rPr>
        <w:t xml:space="preserve">10.2  Damage.  </w:t>
      </w:r>
      <w:r>
        <w:rPr>
          <w:rFonts w:ascii="Arial" w:hAnsi="Arial"/>
          <w:b w:val="0"/>
          <w:i w:val="0"/>
          <w:color w:val="111111"/>
          <w:sz w:val="19"/>
        </w:rPr>
        <w:t>Design-Builder shall promptly remedy damage caused by its operations, subject to required property insurance. Owner is responsible for damage caused by Owner, occupants, or separate contractors. Each party shall promptly report injury or property damage.</w:t>
      </w:r>
    </w:p>
    <w:p>
      <w:pPr>
        <w:keepNext w:val="0"/>
        <w:keepLines/>
        <w:widowControl/>
        <w:spacing w:before="0" w:after="110" w:lineRule="auto" w:line="252"/>
      </w:pPr>
      <w:r>
        <w:rPr>
          <w:rFonts w:ascii="Arial" w:hAnsi="Arial"/>
          <w:b/>
          <w:i w:val="0"/>
          <w:color w:val="1F2937"/>
          <w:sz w:val="19"/>
        </w:rPr>
        <w:t xml:space="preserve">10.3  Hazardous Materials.  </w:t>
      </w:r>
      <w:r>
        <w:rPr>
          <w:rFonts w:ascii="Arial" w:hAnsi="Arial"/>
          <w:b w:val="0"/>
          <w:i w:val="0"/>
          <w:color w:val="111111"/>
          <w:sz w:val="19"/>
        </w:rPr>
        <w:t>Unless expressly included, Design-Builder is not responsible for testing, design, removal, transport, or remediation of preexisting hazardous materials. On discovery, affected Work may stop until a qualified party addresses the condition. Owner is responsible for resulting cost and time unless Design-Builder introduced the material through its negligent act.</w:t>
      </w:r>
    </w:p>
    <w:p>
      <w:pPr>
        <w:keepNext w:val="0"/>
        <w:keepLines/>
        <w:widowControl/>
        <w:spacing w:before="0" w:after="110" w:lineRule="auto" w:line="252"/>
      </w:pPr>
      <w:r>
        <w:rPr>
          <w:rFonts w:ascii="Arial" w:hAnsi="Arial"/>
          <w:b/>
          <w:i w:val="0"/>
          <w:color w:val="1F2937"/>
          <w:sz w:val="19"/>
        </w:rPr>
        <w:t xml:space="preserve">10.4  Emergencies.  </w:t>
      </w:r>
      <w:r>
        <w:rPr>
          <w:rFonts w:ascii="Arial" w:hAnsi="Arial"/>
          <w:b w:val="0"/>
          <w:i w:val="0"/>
          <w:color w:val="111111"/>
          <w:sz w:val="19"/>
        </w:rPr>
        <w:t>In an emergency affecting safety, Design-Builder shall act reasonably to prevent threatened injury, damage, or loss and shall notify Owner promptly. Resulting cost and time are governed by Article 6.</w:t>
      </w:r>
    </w:p>
    <w:p>
      <w:pPr>
        <w:pStyle w:val="Heading1"/>
        <w:keepNext/>
      </w:pPr>
      <w:r>
        <w:rPr>
          <w:rFonts w:ascii="Arial" w:hAnsi="Arial"/>
          <w:b/>
          <w:i w:val="0"/>
          <w:color w:val="922E26"/>
          <w:sz w:val="27"/>
        </w:rPr>
        <w:t>ARTICLE 11  |  UNCOVERING AND CORRECTION OF WORK</w:t>
      </w:r>
    </w:p>
    <w:p>
      <w:pPr>
        <w:keepNext w:val="0"/>
        <w:keepLines/>
        <w:widowControl/>
        <w:spacing w:before="0" w:after="110" w:lineRule="auto" w:line="252"/>
      </w:pPr>
      <w:r>
        <w:rPr>
          <w:rFonts w:ascii="Arial" w:hAnsi="Arial"/>
          <w:b/>
          <w:i w:val="0"/>
          <w:color w:val="1F2937"/>
          <w:sz w:val="19"/>
        </w:rPr>
        <w:t xml:space="preserve">11.1  Uncovering.  </w:t>
      </w:r>
      <w:r>
        <w:rPr>
          <w:rFonts w:ascii="Arial" w:hAnsi="Arial"/>
          <w:b w:val="0"/>
          <w:i w:val="0"/>
          <w:color w:val="111111"/>
          <w:sz w:val="19"/>
        </w:rPr>
        <w:t>If Work is covered contrary to a required inspection or written direction, Design-Builder shall uncover and replace it without adjustment. If properly covered Work is directed to be uncovered and is conforming, the resulting cost and time are a Change; if nonconforming, Design-Builder bears the reasonable cost.</w:t>
      </w:r>
    </w:p>
    <w:p>
      <w:pPr>
        <w:keepNext w:val="0"/>
        <w:keepLines/>
        <w:widowControl/>
        <w:spacing w:before="0" w:after="110" w:lineRule="auto" w:line="252"/>
      </w:pPr>
      <w:r>
        <w:rPr>
          <w:rFonts w:ascii="Arial" w:hAnsi="Arial"/>
          <w:b/>
          <w:i w:val="0"/>
          <w:color w:val="1F2937"/>
          <w:sz w:val="19"/>
        </w:rPr>
        <w:t xml:space="preserve">11.2  Correction Before and After Substantial Completion.  </w:t>
      </w:r>
      <w:r>
        <w:rPr>
          <w:rFonts w:ascii="Arial" w:hAnsi="Arial"/>
          <w:b w:val="0"/>
          <w:i w:val="0"/>
          <w:color w:val="111111"/>
          <w:sz w:val="19"/>
        </w:rPr>
        <w:t>Design-Builder shall promptly correct rejected or nonconforming Work, whether discovered before or after Substantial Completion, and shall bear resulting damage to other included Work. Owner shall provide reasonable access for correction.</w:t>
      </w:r>
    </w:p>
    <w:p>
      <w:pPr>
        <w:keepNext w:val="0"/>
        <w:keepLines/>
        <w:widowControl/>
        <w:spacing w:before="0" w:after="110" w:lineRule="auto" w:line="252"/>
      </w:pPr>
      <w:r>
        <w:rPr>
          <w:rFonts w:ascii="Arial" w:hAnsi="Arial"/>
          <w:b/>
          <w:i w:val="0"/>
          <w:color w:val="1F2937"/>
          <w:sz w:val="19"/>
        </w:rPr>
        <w:t xml:space="preserve">11.3  Correction Period.  </w:t>
      </w:r>
      <w:r>
        <w:rPr>
          <w:rFonts w:ascii="Arial" w:hAnsi="Arial"/>
          <w:b w:val="0"/>
          <w:i w:val="0"/>
          <w:color w:val="111111"/>
          <w:sz w:val="19"/>
        </w:rPr>
        <w:t>For one year after Substantial Completion, or the longer period stated in a specific warranty, Design-Builder shall correct construction that does not conform to the Contract Documents after written notice. The obligation excludes ordinary wear, abuse, improper maintenance or operation, and unauthorized modification.</w:t>
      </w:r>
    </w:p>
    <w:p>
      <w:pPr>
        <w:keepNext w:val="0"/>
        <w:keepLines/>
        <w:widowControl/>
        <w:spacing w:before="0" w:after="110" w:lineRule="auto" w:line="252"/>
      </w:pPr>
      <w:r>
        <w:rPr>
          <w:rFonts w:ascii="Arial" w:hAnsi="Arial"/>
          <w:b/>
          <w:i w:val="0"/>
          <w:color w:val="1F2937"/>
          <w:sz w:val="19"/>
        </w:rPr>
        <w:t xml:space="preserve">11.4  Acceptance of Nonconforming Work.  </w:t>
      </w:r>
      <w:r>
        <w:rPr>
          <w:rFonts w:ascii="Arial" w:hAnsi="Arial"/>
          <w:b w:val="0"/>
          <w:i w:val="0"/>
          <w:color w:val="111111"/>
          <w:sz w:val="19"/>
        </w:rPr>
        <w:t>Owner may accept nonconforming Work by written agreement stating an appropriate reduction in the GMP and any effect on warranty, operation, maintenance, or future replacement.</w:t>
      </w:r>
    </w:p>
    <w:p>
      <w:pPr>
        <w:pStyle w:val="Heading1"/>
        <w:keepNext/>
      </w:pPr>
      <w:r>
        <w:rPr>
          <w:rFonts w:ascii="Arial" w:hAnsi="Arial"/>
          <w:b/>
          <w:i w:val="0"/>
          <w:color w:val="922E26"/>
          <w:sz w:val="27"/>
        </w:rPr>
        <w:t>ARTICLE 12  |  INSTRUMENTS OF SERVICE AND LICENSES</w:t>
      </w:r>
    </w:p>
    <w:p>
      <w:pPr>
        <w:keepNext w:val="0"/>
        <w:keepLines/>
        <w:widowControl/>
        <w:spacing w:before="0" w:after="110" w:lineRule="auto" w:line="252"/>
      </w:pPr>
      <w:r>
        <w:rPr>
          <w:rFonts w:ascii="Arial" w:hAnsi="Arial"/>
          <w:b/>
          <w:i w:val="0"/>
          <w:color w:val="1F2937"/>
          <w:sz w:val="19"/>
        </w:rPr>
        <w:t xml:space="preserve">12.1  Ownership.  </w:t>
      </w:r>
      <w:r>
        <w:rPr>
          <w:rFonts w:ascii="Arial" w:hAnsi="Arial"/>
          <w:b w:val="0"/>
          <w:i w:val="0"/>
          <w:color w:val="111111"/>
          <w:sz w:val="19"/>
        </w:rPr>
        <w:t>Design-Builder, Design Professionals, consultants, and specialty designers retain their copyrights and reserved rights in their respective Instruments of Service. Submission for Owner review, pricing, permitting, or construction does not transfer authorship.</w:t>
      </w:r>
    </w:p>
    <w:p>
      <w:pPr>
        <w:keepNext w:val="0"/>
        <w:keepLines/>
        <w:widowControl/>
        <w:spacing w:before="0" w:after="110" w:lineRule="auto" w:line="252"/>
      </w:pPr>
      <w:r>
        <w:rPr>
          <w:rFonts w:ascii="Arial" w:hAnsi="Arial"/>
          <w:b/>
          <w:i w:val="0"/>
          <w:color w:val="1F2937"/>
          <w:sz w:val="19"/>
        </w:rPr>
        <w:t xml:space="preserve">12.2  Project License.  </w:t>
      </w:r>
      <w:r>
        <w:rPr>
          <w:rFonts w:ascii="Arial" w:hAnsi="Arial"/>
          <w:b w:val="0"/>
          <w:i w:val="0"/>
          <w:color w:val="111111"/>
          <w:sz w:val="19"/>
        </w:rPr>
        <w:t>Upon payment of amounts due for the applicable Instruments of Service, Owner receives a nonexclusive license to use them solely to construct, occupy, operate, maintain, repair, alter, and add to this Project. The license includes use by Owner's consultants and contractors for those Project purposes.</w:t>
      </w:r>
    </w:p>
    <w:p>
      <w:pPr>
        <w:keepNext w:val="0"/>
        <w:keepLines/>
        <w:widowControl/>
        <w:spacing w:before="0" w:after="110" w:lineRule="auto" w:line="252"/>
      </w:pPr>
      <w:r>
        <w:rPr>
          <w:rFonts w:ascii="Arial" w:hAnsi="Arial"/>
          <w:b/>
          <w:i w:val="0"/>
          <w:color w:val="1F2937"/>
          <w:sz w:val="19"/>
        </w:rPr>
        <w:t xml:space="preserve">12.3  Reuse and Modification.  </w:t>
      </w:r>
      <w:r>
        <w:rPr>
          <w:rFonts w:ascii="Arial" w:hAnsi="Arial"/>
          <w:b w:val="0"/>
          <w:i w:val="0"/>
          <w:color w:val="111111"/>
          <w:sz w:val="19"/>
        </w:rPr>
        <w:t>Owner assumes the risk arising from reuse on another project or modification without the responsible professional, except to the extent caused by an original error or omission. Native files and models are governed by any digital-data protocol identified in Exhibit A.</w:t>
      </w:r>
    </w:p>
    <w:p>
      <w:pPr>
        <w:pStyle w:val="Heading1"/>
        <w:keepNext/>
      </w:pPr>
      <w:r>
        <w:rPr>
          <w:rFonts w:ascii="Arial" w:hAnsi="Arial"/>
          <w:b/>
          <w:i w:val="0"/>
          <w:color w:val="922E26"/>
          <w:sz w:val="27"/>
        </w:rPr>
        <w:t>ARTICLE 13  |  SUSPENSION AND TERMINATION</w:t>
      </w:r>
    </w:p>
    <w:p>
      <w:pPr>
        <w:keepNext w:val="0"/>
        <w:keepLines/>
        <w:widowControl/>
        <w:spacing w:before="0" w:after="110" w:lineRule="auto" w:line="252"/>
      </w:pPr>
      <w:r>
        <w:rPr>
          <w:rFonts w:ascii="Arial" w:hAnsi="Arial"/>
          <w:b/>
          <w:i w:val="0"/>
          <w:color w:val="1F2937"/>
          <w:sz w:val="19"/>
        </w:rPr>
        <w:t xml:space="preserve">13.1  Before Exhibit A.  </w:t>
      </w:r>
      <w:r>
        <w:rPr>
          <w:rFonts w:ascii="Arial" w:hAnsi="Arial"/>
          <w:b w:val="0"/>
          <w:i w:val="0"/>
          <w:color w:val="111111"/>
          <w:sz w:val="19"/>
        </w:rPr>
        <w:t>Before Exhibit A, Design-Builder may suspend Phase One for nonpayment or other material Owner breach after written notice and reasonable opportunity to cure. Either party may terminate Phase One on seven days' written notice. Owner shall pay for services performed, authorized reimbursable expenses, unavoidable commitments, and reasonable termination cost. Design-Builder shall deliver paid-for work product subject to Article 12.</w:t>
      </w:r>
    </w:p>
    <w:p>
      <w:pPr>
        <w:keepNext w:val="0"/>
        <w:keepLines/>
        <w:widowControl/>
        <w:spacing w:before="0" w:after="110" w:lineRule="auto" w:line="252"/>
      </w:pPr>
      <w:r>
        <w:rPr>
          <w:rFonts w:ascii="Arial" w:hAnsi="Arial"/>
          <w:b/>
          <w:i w:val="0"/>
          <w:color w:val="1F2937"/>
          <w:sz w:val="19"/>
        </w:rPr>
        <w:t xml:space="preserve">13.2  Owner Suspension After Exhibit A.  </w:t>
      </w:r>
      <w:r>
        <w:rPr>
          <w:rFonts w:ascii="Arial" w:hAnsi="Arial"/>
          <w:b w:val="0"/>
          <w:i w:val="0"/>
          <w:color w:val="111111"/>
          <w:sz w:val="19"/>
        </w:rPr>
        <w:t>Owner may suspend all or part of the Work by written notice. Design-Builder is entitled to an equitable adjustment for protection, delay, escalation, storage, demobilization, remobilization, extended general conditions, and schedule effect unless the suspension results from Design-Builder's uncured material breach.</w:t>
      </w:r>
    </w:p>
    <w:p>
      <w:pPr>
        <w:keepNext w:val="0"/>
        <w:keepLines/>
        <w:widowControl/>
        <w:spacing w:before="0" w:after="110" w:lineRule="auto" w:line="252"/>
      </w:pPr>
      <w:r>
        <w:rPr>
          <w:rFonts w:ascii="Arial" w:hAnsi="Arial"/>
          <w:b/>
          <w:i w:val="0"/>
          <w:color w:val="1F2937"/>
          <w:sz w:val="19"/>
        </w:rPr>
        <w:t xml:space="preserve">13.3  Design-Builder Suspension or Termination.  </w:t>
      </w:r>
      <w:r>
        <w:rPr>
          <w:rFonts w:ascii="Arial" w:hAnsi="Arial"/>
          <w:b w:val="0"/>
          <w:i w:val="0"/>
          <w:color w:val="111111"/>
          <w:sz w:val="19"/>
        </w:rPr>
        <w:t>Design-Builder may suspend or terminate for prolonged stoppage beyond its control, nonpayment, failure to provide required financing evidence or insurance, denial of access, unsafe conditions outside its control, or other material Owner breach, after the notice and cure periods stated in Exhibit A or required by law.</w:t>
      </w:r>
    </w:p>
    <w:p>
      <w:pPr>
        <w:keepNext w:val="0"/>
        <w:keepLines/>
        <w:widowControl/>
        <w:spacing w:before="0" w:after="110" w:lineRule="auto" w:line="252"/>
      </w:pPr>
      <w:r>
        <w:rPr>
          <w:rFonts w:ascii="Arial" w:hAnsi="Arial"/>
          <w:b/>
          <w:i w:val="0"/>
          <w:color w:val="1F2937"/>
          <w:sz w:val="19"/>
        </w:rPr>
        <w:t xml:space="preserve">13.4  Owner Termination for Cause.  </w:t>
      </w:r>
      <w:r>
        <w:rPr>
          <w:rFonts w:ascii="Arial" w:hAnsi="Arial"/>
          <w:b w:val="0"/>
          <w:i w:val="0"/>
          <w:color w:val="111111"/>
          <w:sz w:val="19"/>
        </w:rPr>
        <w:t>Owner may terminate for Design-Builder's material breach after written notice describing the default and reasonable opportunity to cure. Owner may take possession of the site and accept contingent assignments. If completion cost and damages exceed the unpaid balance, Design-Builder is responsible for the excess to the extent established under the Contract; if the unpaid balance exceeds those amounts, Owner shall pay the difference.</w:t>
      </w:r>
    </w:p>
    <w:p>
      <w:pPr>
        <w:keepNext w:val="0"/>
        <w:keepLines/>
        <w:widowControl/>
        <w:spacing w:before="0" w:after="110" w:lineRule="auto" w:line="252"/>
      </w:pPr>
      <w:r>
        <w:rPr>
          <w:rFonts w:ascii="Arial" w:hAnsi="Arial"/>
          <w:b/>
          <w:i w:val="0"/>
          <w:color w:val="1F2937"/>
          <w:sz w:val="19"/>
        </w:rPr>
        <w:t xml:space="preserve">13.5  Owner Termination for Convenience.  </w:t>
      </w:r>
      <w:r>
        <w:rPr>
          <w:rFonts w:ascii="Arial" w:hAnsi="Arial"/>
          <w:b w:val="0"/>
          <w:i w:val="0"/>
          <w:color w:val="111111"/>
          <w:sz w:val="19"/>
        </w:rPr>
        <w:t>Owner may terminate without cause by written notice. Design-Builder shall stop as directed, protect the Work, terminate commitments where prudent, and deliver paid-for Project records. Owner shall pay for Work performed, properly incurred or committed cost, cancellation, protection, demobilization, Fee earned on performed Work, and any termination fee stated in Exhibit A.</w:t>
      </w:r>
    </w:p>
    <w:p>
      <w:pPr>
        <w:pStyle w:val="Heading1"/>
        <w:keepNext/>
      </w:pPr>
      <w:r>
        <w:rPr>
          <w:rFonts w:ascii="Arial" w:hAnsi="Arial"/>
          <w:b/>
          <w:i w:val="0"/>
          <w:color w:val="922E26"/>
          <w:sz w:val="27"/>
        </w:rPr>
        <w:t>ARTICLE 14  |  CLAIMS AND DISPUTE RESOLUTION</w:t>
      </w:r>
    </w:p>
    <w:p>
      <w:pPr>
        <w:keepNext w:val="0"/>
        <w:keepLines/>
        <w:widowControl/>
        <w:spacing w:before="0" w:after="110" w:lineRule="auto" w:line="252"/>
      </w:pPr>
      <w:r>
        <w:rPr>
          <w:rFonts w:ascii="Arial" w:hAnsi="Arial"/>
          <w:b/>
          <w:i w:val="0"/>
          <w:color w:val="1F2937"/>
          <w:sz w:val="19"/>
        </w:rPr>
        <w:t xml:space="preserve">14.1  Claims.  </w:t>
      </w:r>
      <w:r>
        <w:rPr>
          <w:rFonts w:ascii="Arial" w:hAnsi="Arial"/>
          <w:b w:val="0"/>
          <w:i w:val="0"/>
          <w:color w:val="111111"/>
          <w:sz w:val="19"/>
        </w:rPr>
        <w:t>A Claim is a written demand seeking payment, time, interpretation, or other relief under the Contract. The claimant shall provide prompt notice describing the event, known facts, requested relief, and available support and shall update ongoing cost and time effects.</w:t>
      </w:r>
    </w:p>
    <w:p>
      <w:pPr>
        <w:keepNext w:val="0"/>
        <w:keepLines/>
        <w:widowControl/>
        <w:spacing w:before="0" w:after="110" w:lineRule="auto" w:line="252"/>
      </w:pPr>
      <w:r>
        <w:rPr>
          <w:rFonts w:ascii="Arial" w:hAnsi="Arial"/>
          <w:b/>
          <w:i w:val="0"/>
          <w:color w:val="1F2937"/>
          <w:sz w:val="19"/>
        </w:rPr>
        <w:t xml:space="preserve">14.2  Continued Performance.  </w:t>
      </w:r>
      <w:r>
        <w:rPr>
          <w:rFonts w:ascii="Arial" w:hAnsi="Arial"/>
          <w:b w:val="0"/>
          <w:i w:val="0"/>
          <w:color w:val="111111"/>
          <w:sz w:val="19"/>
        </w:rPr>
        <w:t>Pending resolution, Design-Builder shall continue undisputed Work and Owner shall pay undisputed amounts unless the Contract has been properly suspended or terminated or continued performance would be unsafe or unlawful.</w:t>
      </w:r>
    </w:p>
    <w:p>
      <w:pPr>
        <w:keepNext w:val="0"/>
        <w:keepLines/>
        <w:widowControl/>
        <w:spacing w:before="0" w:after="110" w:lineRule="auto" w:line="252"/>
      </w:pPr>
      <w:r>
        <w:rPr>
          <w:rFonts w:ascii="Arial" w:hAnsi="Arial"/>
          <w:b/>
          <w:i w:val="0"/>
          <w:color w:val="1F2937"/>
          <w:sz w:val="19"/>
        </w:rPr>
        <w:t xml:space="preserve">14.3  Initial Resolution.  </w:t>
      </w:r>
      <w:r>
        <w:rPr>
          <w:rFonts w:ascii="Arial" w:hAnsi="Arial"/>
          <w:b w:val="0"/>
          <w:i w:val="0"/>
          <w:color w:val="111111"/>
          <w:sz w:val="19"/>
        </w:rPr>
        <w:t>Project representatives shall first attempt resolution. If unsuccessful, an executive of each party with settlement authority shall meet promptly and exchange information reasonably necessary to evaluate the Claim.</w:t>
      </w:r>
    </w:p>
    <w:p>
      <w:pPr>
        <w:keepNext w:val="0"/>
        <w:keepLines/>
        <w:widowControl/>
        <w:spacing w:before="0" w:after="110" w:lineRule="auto" w:line="252"/>
      </w:pPr>
      <w:r>
        <w:rPr>
          <w:rFonts w:ascii="Arial" w:hAnsi="Arial"/>
          <w:b/>
          <w:i w:val="0"/>
          <w:color w:val="1F2937"/>
          <w:sz w:val="19"/>
        </w:rPr>
        <w:t xml:space="preserve">14.4  Mediation.  </w:t>
      </w:r>
      <w:r>
        <w:rPr>
          <w:rFonts w:ascii="Arial" w:hAnsi="Arial"/>
          <w:b w:val="0"/>
          <w:i w:val="0"/>
          <w:color w:val="111111"/>
          <w:sz w:val="19"/>
        </w:rPr>
        <w:t>As a condition precedent to binding dispute resolution, the parties shall attempt nonbinding mediation under the provider and location stated in Article 1 or Exhibit A. Either party may preserve a lien, bond, limitations, emergency, or provisional remedy without waiving mediation.</w:t>
      </w:r>
    </w:p>
    <w:p>
      <w:pPr>
        <w:keepNext w:val="0"/>
        <w:keepLines/>
        <w:widowControl/>
        <w:spacing w:before="0" w:after="110" w:lineRule="auto" w:line="252"/>
      </w:pPr>
      <w:r>
        <w:rPr>
          <w:rFonts w:ascii="Arial" w:hAnsi="Arial"/>
          <w:b/>
          <w:i w:val="0"/>
          <w:color w:val="1F2937"/>
          <w:sz w:val="19"/>
        </w:rPr>
        <w:t xml:space="preserve">14.5  Binding Resolution.  </w:t>
      </w:r>
      <w:r>
        <w:rPr>
          <w:rFonts w:ascii="Arial" w:hAnsi="Arial"/>
          <w:b w:val="0"/>
          <w:i w:val="0"/>
          <w:color w:val="111111"/>
          <w:sz w:val="19"/>
        </w:rPr>
        <w:t>Unresolved disputes shall be resolved by the selected method. Any arbitration election shall identify governing rules, number of arbitrators, and consolidation or joinder provisions. If no method is selected, litigation in a court of competent jurisdiction applies.</w:t>
      </w:r>
    </w:p>
    <w:p>
      <w:pPr>
        <w:keepNext w:val="0"/>
        <w:keepLines/>
        <w:widowControl/>
        <w:spacing w:before="0" w:after="110" w:lineRule="auto" w:line="252"/>
      </w:pPr>
      <w:r>
        <w:rPr>
          <w:rFonts w:ascii="Arial" w:hAnsi="Arial"/>
          <w:b/>
          <w:i w:val="0"/>
          <w:color w:val="1F2937"/>
          <w:sz w:val="19"/>
        </w:rPr>
        <w:t xml:space="preserve">14.6  Consequential Damages.  </w:t>
      </w:r>
      <w:r>
        <w:rPr>
          <w:rFonts w:ascii="Arial" w:hAnsi="Arial"/>
          <w:b w:val="0"/>
          <w:i w:val="0"/>
          <w:color w:val="111111"/>
          <w:sz w:val="19"/>
        </w:rPr>
        <w:t>To the fullest extent permitted by law, Owner and Design-Builder waive consequential, indirect, incidental, exemplary, and punitive damages arising from the Project, including loss of use, financing, business, reputation, and profit not earned directly under the Contract. The waiver does not apply to fraud, willful misconduct, covered third-party indemnity, or liquidated damages expressly stated in Exhibit A.</w:t>
      </w:r>
    </w:p>
    <w:p>
      <w:pPr>
        <w:pStyle w:val="Heading1"/>
        <w:keepNext/>
      </w:pPr>
      <w:r>
        <w:rPr>
          <w:rFonts w:ascii="Arial" w:hAnsi="Arial"/>
          <w:b/>
          <w:i w:val="0"/>
          <w:color w:val="922E26"/>
          <w:sz w:val="27"/>
        </w:rPr>
        <w:t>ARTICLE 15  |  MISCELLANEOUS PROVISIONS</w:t>
      </w:r>
    </w:p>
    <w:p>
      <w:pPr>
        <w:keepNext w:val="0"/>
        <w:keepLines/>
        <w:widowControl/>
        <w:spacing w:before="0" w:after="110" w:lineRule="auto" w:line="252"/>
      </w:pPr>
      <w:r>
        <w:rPr>
          <w:rFonts w:ascii="Arial" w:hAnsi="Arial"/>
          <w:b/>
          <w:i w:val="0"/>
          <w:color w:val="1F2937"/>
          <w:sz w:val="19"/>
        </w:rPr>
        <w:t xml:space="preserve">15.1  Governing Law.  </w:t>
      </w:r>
      <w:r>
        <w:rPr>
          <w:rFonts w:ascii="Arial" w:hAnsi="Arial"/>
          <w:b w:val="0"/>
          <w:i w:val="0"/>
          <w:color w:val="111111"/>
          <w:sz w:val="19"/>
        </w:rPr>
        <w:t>The Contract is governed by the law of the Project location unless another law is stated below, subject to mandatory law that cannot be varied.</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LEGAL TERM</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ELECTION</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Governing law</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Venue</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15.2  Notices.  </w:t>
      </w:r>
      <w:r>
        <w:rPr>
          <w:rFonts w:ascii="Arial" w:hAnsi="Arial"/>
          <w:b w:val="0"/>
          <w:i w:val="0"/>
          <w:color w:val="111111"/>
          <w:sz w:val="19"/>
        </w:rPr>
        <w:t>Formal notices shall be delivered to the addresses and emails below by personal delivery, nationally recognized overnight carrier, certified mail, or email with confirmed transmission, subject to any method required by law. Routine Project communication may use the agreed electronic platform.</w:t>
      </w:r>
    </w:p>
    <w:tbl>
      <w:tblPr>
        <w:tblW w:type="dxa" w:w="9360"/>
        <w:jc w:val="left"/>
        <w:tblLayout w:type="fixed"/>
        <w:tblLook w:firstColumn="1" w:firstRow="1" w:lastColumn="0" w:lastRow="0" w:noHBand="0" w:noVBand="1" w:val="04A0"/>
        <w:tblInd w:w="120" w:type="dxa"/>
      </w:tblPr>
      <w:tblGrid>
        <w:gridCol w:w="1440"/>
        <w:gridCol w:w="2016"/>
        <w:gridCol w:w="2160"/>
        <w:gridCol w:w="3744"/>
      </w:tblGrid>
      <w:tr>
        <w:trPr>
          <w:trHeight w:hRule="atLeast"/>
          <w:tblHeader w:val="true"/>
        </w:trPr>
        <w:tc>
          <w:tcPr>
            <w:tcW w:type="dxa" w:w="1440"/>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6"/>
              </w:rPr>
              <w:t>Party</w:t>
            </w:r>
          </w:p>
        </w:tc>
        <w:tc>
          <w:tcPr>
            <w:tcW w:type="dxa" w:w="201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Recipient</w:t>
            </w:r>
          </w:p>
        </w:tc>
        <w:tc>
          <w:tcPr>
            <w:tcW w:type="dxa" w:w="2160"/>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Email</w:t>
            </w:r>
          </w:p>
        </w:tc>
        <w:tc>
          <w:tcPr>
            <w:tcW w:type="dxa" w:w="374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Delivery address</w:t>
            </w:r>
          </w:p>
        </w:tc>
      </w:tr>
      <w:tr>
        <w:trPr>
          <w:cantSplit/>
          <w:trHeight w:hRule="atLeast"/>
        </w:trPr>
        <w:tc>
          <w:tcPr>
            <w:tcW w:type="dxa" w:w="144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Owner</w:t>
            </w:r>
          </w:p>
        </w:tc>
        <w:tc>
          <w:tcPr>
            <w:tcW w:type="dxa" w:w="201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16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744"/>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44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Design-Builder</w:t>
            </w:r>
          </w:p>
        </w:tc>
        <w:tc>
          <w:tcPr>
            <w:tcW w:type="dxa" w:w="201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16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744"/>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Mefford Contracting, LLC, 1585 Mercer Road, Suite 110, Lexington, KY 40511</w:t>
            </w:r>
          </w:p>
        </w:tc>
      </w:tr>
    </w:tbl>
    <w:p>
      <w:pPr>
        <w:spacing w:after="40"/>
      </w:pPr>
    </w:p>
    <w:p>
      <w:pPr>
        <w:keepNext w:val="0"/>
        <w:keepLines/>
        <w:widowControl/>
        <w:spacing w:before="0" w:after="110" w:lineRule="auto" w:line="252"/>
      </w:pPr>
      <w:r>
        <w:rPr>
          <w:rFonts w:ascii="Arial" w:hAnsi="Arial"/>
          <w:b/>
          <w:i w:val="0"/>
          <w:color w:val="1F2937"/>
          <w:sz w:val="19"/>
        </w:rPr>
        <w:t xml:space="preserve">15.3  Assignment.  </w:t>
      </w:r>
      <w:r>
        <w:rPr>
          <w:rFonts w:ascii="Arial" w:hAnsi="Arial"/>
          <w:b w:val="0"/>
          <w:i w:val="0"/>
          <w:color w:val="111111"/>
          <w:sz w:val="19"/>
        </w:rPr>
        <w:t>Neither party may assign the Contract without the other's written consent, not unreasonably withheld, except Owner may assign to a Project lender or successor that assumes Owner's obligations and Design-Builder may assign receivables to a lender. No assignment releases the assigning party without written consent.</w:t>
      </w:r>
    </w:p>
    <w:p>
      <w:pPr>
        <w:keepNext w:val="0"/>
        <w:keepLines/>
        <w:widowControl/>
        <w:spacing w:before="0" w:after="110" w:lineRule="auto" w:line="252"/>
      </w:pPr>
      <w:r>
        <w:rPr>
          <w:rFonts w:ascii="Arial" w:hAnsi="Arial"/>
          <w:b/>
          <w:i w:val="0"/>
          <w:color w:val="1F2937"/>
          <w:sz w:val="19"/>
        </w:rPr>
        <w:t xml:space="preserve">15.4  Confidential Information.  </w:t>
      </w:r>
      <w:r>
        <w:rPr>
          <w:rFonts w:ascii="Arial" w:hAnsi="Arial"/>
          <w:b w:val="0"/>
          <w:i w:val="0"/>
          <w:color w:val="111111"/>
          <w:sz w:val="19"/>
        </w:rPr>
        <w:t>Each party shall protect nonpublic business, pricing, security, personal, and technical information using reasonable care and shall use it only for the Project. The duty does not apply to information lawfully public, independently developed, already known without restriction, or required to be disclosed by law.</w:t>
      </w:r>
    </w:p>
    <w:p>
      <w:pPr>
        <w:keepNext w:val="0"/>
        <w:keepLines/>
        <w:widowControl/>
        <w:spacing w:before="0" w:after="110" w:lineRule="auto" w:line="252"/>
      </w:pPr>
      <w:r>
        <w:rPr>
          <w:rFonts w:ascii="Arial" w:hAnsi="Arial"/>
          <w:b/>
          <w:i w:val="0"/>
          <w:color w:val="1F2937"/>
          <w:sz w:val="19"/>
        </w:rPr>
        <w:t xml:space="preserve">15.5  Tests and Inspections.  </w:t>
      </w:r>
      <w:r>
        <w:rPr>
          <w:rFonts w:ascii="Arial" w:hAnsi="Arial"/>
          <w:b w:val="0"/>
          <w:i w:val="0"/>
          <w:color w:val="111111"/>
          <w:sz w:val="19"/>
        </w:rPr>
        <w:t>Testing, special inspections, commissioning, and regulatory inspections shall be allocated in Exhibit A. Failed tests attributable to nonconforming Work are Design-Builder's responsibility. Added tests not required by the Contract are Owner's responsibility unless they reveal nonconformance.</w:t>
      </w:r>
    </w:p>
    <w:p>
      <w:pPr>
        <w:keepNext w:val="0"/>
        <w:keepLines/>
        <w:widowControl/>
        <w:spacing w:before="0" w:after="110" w:lineRule="auto" w:line="252"/>
      </w:pPr>
      <w:r>
        <w:rPr>
          <w:rFonts w:ascii="Arial" w:hAnsi="Arial"/>
          <w:b/>
          <w:i w:val="0"/>
          <w:color w:val="1F2937"/>
          <w:sz w:val="19"/>
        </w:rPr>
        <w:t xml:space="preserve">15.6  Rights and Remedies.  </w:t>
      </w:r>
      <w:r>
        <w:rPr>
          <w:rFonts w:ascii="Arial" w:hAnsi="Arial"/>
          <w:b w:val="0"/>
          <w:i w:val="0"/>
          <w:color w:val="111111"/>
          <w:sz w:val="19"/>
        </w:rPr>
        <w:t>Rights and remedies are cumulative unless the Contract expressly states otherwise. A waiver is effective only in writing and only for the stated instance. If a provision is unenforceable, it shall be limited or severed to the minimum extent necessary and the remaining provisions continue in effect.</w:t>
      </w:r>
    </w:p>
    <w:p>
      <w:pPr>
        <w:keepNext w:val="0"/>
        <w:keepLines/>
        <w:widowControl/>
        <w:spacing w:before="0" w:after="110" w:lineRule="auto" w:line="252"/>
      </w:pPr>
      <w:r>
        <w:rPr>
          <w:rFonts w:ascii="Arial" w:hAnsi="Arial"/>
          <w:b/>
          <w:i w:val="0"/>
          <w:color w:val="1F2937"/>
          <w:sz w:val="19"/>
        </w:rPr>
        <w:t xml:space="preserve">15.7  Electronic Signatures and Counterparts.  </w:t>
      </w:r>
      <w:r>
        <w:rPr>
          <w:rFonts w:ascii="Arial" w:hAnsi="Arial"/>
          <w:b w:val="0"/>
          <w:i w:val="0"/>
          <w:color w:val="111111"/>
          <w:sz w:val="19"/>
        </w:rPr>
        <w:t>This Agreement and later Modifications may be executed in counterparts and by legally valid electronic signature. Each signed counterpart is deemed an original and together they form one instrument.</w:t>
      </w:r>
    </w:p>
    <w:p>
      <w:pPr>
        <w:pStyle w:val="Heading1"/>
        <w:keepNext/>
      </w:pPr>
      <w:r>
        <w:rPr>
          <w:rFonts w:ascii="Arial" w:hAnsi="Arial"/>
          <w:b/>
          <w:i w:val="0"/>
          <w:color w:val="922E26"/>
          <w:sz w:val="27"/>
        </w:rPr>
        <w:t>ARTICLE 16  |  CONTRACT DOCUMENTS AND EXECUTION</w:t>
      </w:r>
    </w:p>
    <w:p>
      <w:pPr>
        <w:keepNext w:val="0"/>
        <w:keepLines/>
        <w:widowControl/>
        <w:spacing w:before="0" w:after="110" w:lineRule="auto" w:line="252"/>
      </w:pPr>
      <w:r>
        <w:rPr>
          <w:rFonts w:ascii="Arial" w:hAnsi="Arial"/>
          <w:b/>
          <w:i w:val="0"/>
          <w:color w:val="1F2937"/>
          <w:sz w:val="19"/>
        </w:rPr>
        <w:t xml:space="preserve">16.1  Included Documents.  </w:t>
      </w:r>
      <w:r>
        <w:rPr>
          <w:rFonts w:ascii="Arial" w:hAnsi="Arial"/>
          <w:b w:val="0"/>
          <w:i w:val="0"/>
          <w:color w:val="111111"/>
          <w:sz w:val="19"/>
        </w:rPr>
        <w:t>This Agreement consists of the documents listed below. Exhibit A is incorporated only when completed and signed by both parties. A proposal, estimate, drawing, specification, schedule, or attachment is not part of the Contract unless specifically identified by title, date, and revision.</w:t>
      </w:r>
    </w:p>
    <w:tbl>
      <w:tblPr>
        <w:tblW w:type="dxa" w:w="9360"/>
        <w:jc w:val="left"/>
        <w:tblLayout w:type="fixed"/>
        <w:tblLook w:firstColumn="1" w:firstRow="1" w:lastColumn="0" w:lastRow="0" w:noHBand="0" w:noVBand="1" w:val="04A0"/>
        <w:tblInd w:w="120" w:type="dxa"/>
      </w:tblPr>
      <w:tblGrid>
        <w:gridCol w:w="1656"/>
        <w:gridCol w:w="3456"/>
        <w:gridCol w:w="1800"/>
        <w:gridCol w:w="2448"/>
      </w:tblGrid>
      <w:tr>
        <w:trPr>
          <w:trHeight w:hRule="atLeast"/>
          <w:tblHeader w:val="true"/>
        </w:trPr>
        <w:tc>
          <w:tcPr>
            <w:tcW w:type="dxa" w:w="165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6"/>
              </w:rPr>
              <w:t>Document</w:t>
            </w:r>
          </w:p>
        </w:tc>
        <w:tc>
          <w:tcPr>
            <w:tcW w:type="dxa" w:w="345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Title / identifier</w:t>
            </w:r>
          </w:p>
        </w:tc>
        <w:tc>
          <w:tcPr>
            <w:tcW w:type="dxa" w:w="1800"/>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Date / revision</w:t>
            </w:r>
          </w:p>
        </w:tc>
        <w:tc>
          <w:tcPr>
            <w:tcW w:type="dxa" w:w="2448"/>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Purpose</w:t>
            </w:r>
          </w:p>
        </w:tc>
      </w:tr>
      <w:tr>
        <w:trPr>
          <w:cantSplit/>
          <w:trHeight w:hRule="atLeast"/>
        </w:trPr>
        <w:tc>
          <w:tcPr>
            <w:tcW w:type="dxa" w:w="165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This Agreement</w:t>
            </w:r>
          </w:p>
        </w:tc>
        <w:tc>
          <w:tcPr>
            <w:tcW w:type="dxa" w:w="345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MC-OWN-DBGMP-001 REV. 2.1</w:t>
            </w:r>
          </w:p>
        </w:tc>
        <w:tc>
          <w:tcPr>
            <w:tcW w:type="dxa" w:w="180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Initial agreement and Phase One authorization</w:t>
            </w:r>
          </w:p>
        </w:tc>
      </w:tr>
      <w:tr>
        <w:trPr>
          <w:cantSplit/>
          <w:trHeight w:hRule="atLeast"/>
        </w:trPr>
        <w:tc>
          <w:tcPr>
            <w:tcW w:type="dxa" w:w="165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Exhibit A</w:t>
            </w:r>
          </w:p>
        </w:tc>
        <w:tc>
          <w:tcPr>
            <w:tcW w:type="dxa" w:w="345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Design-Build GMP Amendment</w:t>
            </w:r>
          </w:p>
        </w:tc>
        <w:tc>
          <w:tcPr>
            <w:tcW w:type="dxa" w:w="180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Effective only when later executed</w:t>
            </w:r>
          </w:p>
        </w:tc>
      </w:tr>
      <w:tr>
        <w:trPr>
          <w:cantSplit/>
          <w:trHeight w:hRule="atLeast"/>
        </w:trPr>
        <w:tc>
          <w:tcPr>
            <w:tcW w:type="dxa" w:w="165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45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0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65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45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0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65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45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0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65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45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0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65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45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0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65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45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0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65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45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0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65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45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0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bl>
    <w:p>
      <w:pPr>
        <w:spacing w:after="40"/>
      </w:pPr>
    </w:p>
    <w:p>
      <w:pPr>
        <w:keepNext w:val="0"/>
        <w:keepLines/>
        <w:widowControl/>
        <w:spacing w:before="0" w:after="110" w:lineRule="auto" w:line="252"/>
      </w:pPr>
      <w:r>
        <w:rPr>
          <w:rFonts w:ascii="Arial" w:hAnsi="Arial"/>
          <w:b/>
          <w:i w:val="0"/>
          <w:color w:val="1F2937"/>
          <w:sz w:val="19"/>
        </w:rPr>
        <w:t xml:space="preserve">16.2  Order of Precedence.  </w:t>
      </w:r>
      <w:r>
        <w:rPr>
          <w:rFonts w:ascii="Arial" w:hAnsi="Arial"/>
          <w:b w:val="0"/>
          <w:i w:val="0"/>
          <w:color w:val="111111"/>
          <w:sz w:val="19"/>
        </w:rPr>
        <w:t>A later signed Change Order controls over earlier documents. Mandatory law controls next, followed by this Agreement, executed Exhibit A, specifically listed Owner Criteria, drawings and specifications, and other listed attachments. A specific requirement controls over a general requirement. Lower-tier terms do not modify Owner's or Design-Builder's rights unless expressly incorporated.</w:t>
      </w:r>
    </w:p>
    <w:p>
      <w:r>
        <w:br w:type="page"/>
      </w:r>
    </w:p>
    <w:p>
      <w:pPr>
        <w:pStyle w:val="Heading1"/>
      </w:pPr>
      <w:r>
        <w:rPr>
          <w:rFonts w:ascii="Arial" w:hAnsi="Arial"/>
          <w:b/>
          <w:i w:val="0"/>
          <w:color w:val="922E26"/>
          <w:sz w:val="27"/>
        </w:rPr>
        <w:t>SIGNATURES</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EXECUTION INFORMATION</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VALUE</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Owner legal name</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Project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Document effective date</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widowControl/>
        <w:spacing w:before="200" w:after="200" w:lineRule="auto" w:line="252"/>
      </w:pPr>
      <w:r>
        <w:rPr>
          <w:rFonts w:ascii="Arial" w:hAnsi="Arial"/>
          <w:b w:val="0"/>
          <w:i w:val="0"/>
          <w:color w:val="111111"/>
          <w:sz w:val="19"/>
        </w:rPr>
        <w:t>The parties execute this Agreement through their authorized representatives as of the Agreement date stated on the first page.</w:t>
      </w:r>
    </w:p>
    <w:tbl>
      <w:tblPr>
        <w:tblW w:type="dxa" w:w="9360"/>
        <w:jc w:val="left"/>
        <w:tblLayout w:type="fixed"/>
        <w:tblLook w:firstColumn="1" w:firstRow="1" w:lastColumn="0" w:lastRow="0" w:noHBand="0" w:noVBand="1" w:val="04A0"/>
        <w:tblInd w:w="120" w:type="dxa"/>
      </w:tblPr>
      <w:tblGrid>
        <w:gridCol w:w="4680"/>
        <w:gridCol w:w="4680"/>
      </w:tblGrid>
      <w:tr>
        <w:trPr>
          <w:trHeight w:hRule="atLeast"/>
          <w:cantSplit/>
        </w:trPr>
        <w:tc>
          <w:tcPr>
            <w:tcW w:type="dxa" w:w="4680"/>
            <w:tcMar>
              <w:top w:w="80" w:type="dxa"/>
              <w:start w:w="120" w:type="dxa"/>
              <w:bottom w:w="80" w:type="dxa"/>
              <w:end w:w="120" w:type="dxa"/>
            </w:tcMar>
            <w:vAlign w:val="center"/>
            <w:tcBorders>
              <w:bottom w:val="nil"/>
              <w:top w:val="nil"/>
              <w:start w:val="nil"/>
              <w:end w:val="nil"/>
            </w:tcBorders>
          </w:tcPr>
          <w:p>
            <w:pPr>
              <w:keepNext w:val="0"/>
              <w:widowControl/>
              <w:spacing w:before="0" w:after="0" w:lineRule="auto" w:line="245"/>
              <w:jc w:val="left"/>
            </w:pPr>
            <w:r/>
            <w:r>
              <w:rPr>
                <w:rFonts w:ascii="Arial" w:hAnsi="Arial"/>
                <w:b/>
                <w:i w:val="0"/>
                <w:color w:val="922E26"/>
                <w:sz w:val="17"/>
              </w:rPr>
              <w:t>OWNER</w:t>
            </w:r>
          </w:p>
        </w:tc>
        <w:tc>
          <w:tcPr>
            <w:tcW w:type="dxa" w:w="4680"/>
            <w:tcMar>
              <w:top w:w="80" w:type="dxa"/>
              <w:start w:w="120" w:type="dxa"/>
              <w:bottom w:w="80" w:type="dxa"/>
              <w:end w:w="120" w:type="dxa"/>
            </w:tcMar>
            <w:vAlign w:val="center"/>
            <w:tcBorders>
              <w:bottom w:val="nil"/>
              <w:top w:val="nil"/>
              <w:start w:val="nil"/>
              <w:end w:val="nil"/>
            </w:tcBorders>
          </w:tcPr>
          <w:p>
            <w:pPr>
              <w:keepNext w:val="0"/>
              <w:widowControl/>
              <w:spacing w:before="0" w:after="0" w:lineRule="auto" w:line="245"/>
              <w:jc w:val="left"/>
            </w:pPr>
            <w:r/>
            <w:r>
              <w:rPr>
                <w:rFonts w:ascii="Arial" w:hAnsi="Arial"/>
                <w:b/>
                <w:i w:val="0"/>
                <w:color w:val="922E26"/>
                <w:sz w:val="17"/>
              </w:rPr>
              <w:t>MEFFORD CONTRACTING, LLC</w:t>
            </w:r>
          </w:p>
        </w:tc>
      </w:tr>
      <w:tr>
        <w:trPr>
          <w:trHeight w:hRule="atLeast"/>
          <w:cantSplit/>
        </w:trPr>
        <w:tc>
          <w:tcPr>
            <w:tcW w:type="dxa" w:w="4680"/>
            <w:tcMar>
              <w:top w:w="80" w:type="dxa"/>
              <w:start w:w="120" w:type="dxa"/>
              <w:bottom w:w="80" w:type="dxa"/>
              <w:end w:w="120" w:type="dxa"/>
            </w:tcMar>
            <w:vAlign w:val="center"/>
            <w:tcBorders>
              <w:bottom w:val="nil"/>
              <w:top w:val="nil"/>
              <w:start w:val="nil"/>
              <w:end w:val="nil"/>
            </w:tcBorders>
          </w:tcPr>
          <w:p>
            <w:pPr>
              <w:keepNext w:val="0"/>
              <w:widowControl/>
              <w:spacing w:before="0" w:after="0" w:lineRule="auto" w:line="245"/>
              <w:jc w:val="left"/>
            </w:pPr>
            <w:r/>
            <w:r>
              <w:rPr>
                <w:rFonts w:ascii="Arial" w:hAnsi="Arial"/>
                <w:b w:val="0"/>
                <w:i w:val="0"/>
                <w:color w:val="1F2937"/>
                <w:sz w:val="17"/>
              </w:rPr>
              <w:t>Legal name: __________________________</w:t>
            </w:r>
          </w:p>
        </w:tc>
        <w:tc>
          <w:tcPr>
            <w:tcW w:type="dxa" w:w="4680"/>
            <w:tcMar>
              <w:top w:w="80" w:type="dxa"/>
              <w:start w:w="120" w:type="dxa"/>
              <w:bottom w:w="80" w:type="dxa"/>
              <w:end w:w="120" w:type="dxa"/>
            </w:tcMar>
            <w:vAlign w:val="center"/>
            <w:tcBorders>
              <w:bottom w:val="nil"/>
              <w:top w:val="nil"/>
              <w:start w:val="nil"/>
              <w:end w:val="nil"/>
            </w:tcBorders>
          </w:tcPr>
          <w:p>
            <w:pPr>
              <w:keepNext w:val="0"/>
              <w:widowControl/>
              <w:spacing w:before="0" w:after="0" w:lineRule="auto" w:line="245"/>
              <w:jc w:val="left"/>
            </w:pPr>
            <w:r/>
            <w:r>
              <w:rPr>
                <w:rFonts w:ascii="Arial" w:hAnsi="Arial"/>
                <w:b w:val="0"/>
                <w:i w:val="0"/>
                <w:color w:val="1F2937"/>
                <w:sz w:val="17"/>
              </w:rPr>
              <w:t>By: __________________________________</w:t>
            </w:r>
          </w:p>
        </w:tc>
      </w:tr>
      <w:tr>
        <w:trPr>
          <w:trHeight w:hRule="atLeast"/>
          <w:cantSplit/>
        </w:trPr>
        <w:tc>
          <w:tcPr>
            <w:tcW w:type="dxa" w:w="4680"/>
            <w:tcMar>
              <w:top w:w="80" w:type="dxa"/>
              <w:start w:w="120" w:type="dxa"/>
              <w:bottom w:w="80" w:type="dxa"/>
              <w:end w:w="120" w:type="dxa"/>
            </w:tcMar>
            <w:vAlign w:val="center"/>
            <w:tcBorders>
              <w:bottom w:val="nil"/>
              <w:top w:val="nil"/>
              <w:start w:val="nil"/>
              <w:end w:val="nil"/>
            </w:tcBorders>
          </w:tcPr>
          <w:p>
            <w:pPr>
              <w:keepNext w:val="0"/>
              <w:widowControl/>
              <w:spacing w:before="0" w:after="0" w:lineRule="auto" w:line="245"/>
              <w:jc w:val="left"/>
            </w:pPr>
            <w:r/>
            <w:r>
              <w:rPr>
                <w:rFonts w:ascii="Arial" w:hAnsi="Arial"/>
                <w:b w:val="0"/>
                <w:i w:val="0"/>
                <w:color w:val="1F2937"/>
                <w:sz w:val="17"/>
              </w:rPr>
              <w:t>By: __________________________________</w:t>
            </w:r>
          </w:p>
        </w:tc>
        <w:tc>
          <w:tcPr>
            <w:tcW w:type="dxa" w:w="4680"/>
            <w:tcMar>
              <w:top w:w="80" w:type="dxa"/>
              <w:start w:w="120" w:type="dxa"/>
              <w:bottom w:w="80" w:type="dxa"/>
              <w:end w:w="120" w:type="dxa"/>
            </w:tcMar>
            <w:vAlign w:val="center"/>
            <w:tcBorders>
              <w:bottom w:val="nil"/>
              <w:top w:val="nil"/>
              <w:start w:val="nil"/>
              <w:end w:val="nil"/>
            </w:tcBorders>
          </w:tcPr>
          <w:p>
            <w:pPr>
              <w:keepNext w:val="0"/>
              <w:widowControl/>
              <w:spacing w:before="0" w:after="0" w:lineRule="auto" w:line="245"/>
              <w:jc w:val="left"/>
            </w:pPr>
            <w:r/>
            <w:r>
              <w:rPr>
                <w:rFonts w:ascii="Arial" w:hAnsi="Arial"/>
                <w:b w:val="0"/>
                <w:i w:val="0"/>
                <w:color w:val="1F2937"/>
                <w:sz w:val="17"/>
              </w:rPr>
              <w:t>Printed name: _________________________</w:t>
            </w:r>
          </w:p>
        </w:tc>
      </w:tr>
      <w:tr>
        <w:trPr>
          <w:trHeight w:hRule="atLeast"/>
          <w:cantSplit/>
        </w:trPr>
        <w:tc>
          <w:tcPr>
            <w:tcW w:type="dxa" w:w="4680"/>
            <w:tcMar>
              <w:top w:w="80" w:type="dxa"/>
              <w:start w:w="120" w:type="dxa"/>
              <w:bottom w:w="80" w:type="dxa"/>
              <w:end w:w="120" w:type="dxa"/>
            </w:tcMar>
            <w:vAlign w:val="center"/>
            <w:tcBorders>
              <w:bottom w:val="nil"/>
              <w:top w:val="nil"/>
              <w:start w:val="nil"/>
              <w:end w:val="nil"/>
            </w:tcBorders>
          </w:tcPr>
          <w:p>
            <w:pPr>
              <w:keepNext w:val="0"/>
              <w:widowControl/>
              <w:spacing w:before="0" w:after="0" w:lineRule="auto" w:line="245"/>
              <w:jc w:val="left"/>
            </w:pPr>
            <w:r/>
            <w:r>
              <w:rPr>
                <w:rFonts w:ascii="Arial" w:hAnsi="Arial"/>
                <w:b w:val="0"/>
                <w:i w:val="0"/>
                <w:color w:val="1F2937"/>
                <w:sz w:val="17"/>
              </w:rPr>
              <w:t>Printed name: _________________________</w:t>
            </w:r>
          </w:p>
        </w:tc>
        <w:tc>
          <w:tcPr>
            <w:tcW w:type="dxa" w:w="4680"/>
            <w:tcMar>
              <w:top w:w="80" w:type="dxa"/>
              <w:start w:w="120" w:type="dxa"/>
              <w:bottom w:w="80" w:type="dxa"/>
              <w:end w:w="120" w:type="dxa"/>
            </w:tcMar>
            <w:vAlign w:val="center"/>
            <w:tcBorders>
              <w:bottom w:val="nil"/>
              <w:top w:val="nil"/>
              <w:start w:val="nil"/>
              <w:end w:val="nil"/>
            </w:tcBorders>
          </w:tcPr>
          <w:p>
            <w:pPr>
              <w:keepNext w:val="0"/>
              <w:widowControl/>
              <w:spacing w:before="0" w:after="0" w:lineRule="auto" w:line="245"/>
              <w:jc w:val="left"/>
            </w:pPr>
            <w:r/>
            <w:r>
              <w:rPr>
                <w:rFonts w:ascii="Arial" w:hAnsi="Arial"/>
                <w:b w:val="0"/>
                <w:i w:val="0"/>
                <w:color w:val="1F2937"/>
                <w:sz w:val="17"/>
              </w:rPr>
              <w:t>Title: _________________________________</w:t>
            </w:r>
          </w:p>
        </w:tc>
      </w:tr>
      <w:tr>
        <w:trPr>
          <w:trHeight w:hRule="atLeast"/>
          <w:cantSplit/>
        </w:trPr>
        <w:tc>
          <w:tcPr>
            <w:tcW w:type="dxa" w:w="4680"/>
            <w:tcMar>
              <w:top w:w="80" w:type="dxa"/>
              <w:start w:w="120" w:type="dxa"/>
              <w:bottom w:w="80" w:type="dxa"/>
              <w:end w:w="120" w:type="dxa"/>
            </w:tcMar>
            <w:vAlign w:val="center"/>
            <w:tcBorders>
              <w:bottom w:val="nil"/>
              <w:top w:val="nil"/>
              <w:start w:val="nil"/>
              <w:end w:val="nil"/>
            </w:tcBorders>
          </w:tcPr>
          <w:p>
            <w:pPr>
              <w:keepNext w:val="0"/>
              <w:widowControl/>
              <w:spacing w:before="0" w:after="0" w:lineRule="auto" w:line="245"/>
              <w:jc w:val="left"/>
            </w:pPr>
            <w:r/>
            <w:r>
              <w:rPr>
                <w:rFonts w:ascii="Arial" w:hAnsi="Arial"/>
                <w:b w:val="0"/>
                <w:i w:val="0"/>
                <w:color w:val="1F2937"/>
                <w:sz w:val="17"/>
              </w:rPr>
              <w:t>Title: _________________________________</w:t>
            </w:r>
          </w:p>
        </w:tc>
        <w:tc>
          <w:tcPr>
            <w:tcW w:type="dxa" w:w="4680"/>
            <w:tcMar>
              <w:top w:w="80" w:type="dxa"/>
              <w:start w:w="120" w:type="dxa"/>
              <w:bottom w:w="80" w:type="dxa"/>
              <w:end w:w="120" w:type="dxa"/>
            </w:tcMar>
            <w:vAlign w:val="center"/>
            <w:tcBorders>
              <w:bottom w:val="nil"/>
              <w:top w:val="nil"/>
              <w:start w:val="nil"/>
              <w:end w:val="nil"/>
            </w:tcBorders>
          </w:tcPr>
          <w:p>
            <w:pPr>
              <w:keepNext w:val="0"/>
              <w:widowControl/>
              <w:spacing w:before="0" w:after="0" w:lineRule="auto" w:line="245"/>
              <w:jc w:val="left"/>
            </w:pPr>
            <w:r/>
            <w:r>
              <w:rPr>
                <w:rFonts w:ascii="Arial" w:hAnsi="Arial"/>
                <w:b w:val="0"/>
                <w:i w:val="0"/>
                <w:color w:val="1F2937"/>
                <w:sz w:val="17"/>
              </w:rPr>
              <w:t>Date: __________________________________</w:t>
            </w:r>
          </w:p>
        </w:tc>
      </w:tr>
      <w:tr>
        <w:trPr>
          <w:trHeight w:hRule="atLeast"/>
          <w:cantSplit/>
        </w:trPr>
        <w:tc>
          <w:tcPr>
            <w:tcW w:type="dxa" w:w="4680"/>
            <w:tcMar>
              <w:top w:w="80" w:type="dxa"/>
              <w:start w:w="120" w:type="dxa"/>
              <w:bottom w:w="80" w:type="dxa"/>
              <w:end w:w="120" w:type="dxa"/>
            </w:tcMar>
            <w:vAlign w:val="center"/>
            <w:tcBorders>
              <w:bottom w:val="nil"/>
              <w:top w:val="nil"/>
              <w:start w:val="nil"/>
              <w:end w:val="nil"/>
            </w:tcBorders>
          </w:tcPr>
          <w:p>
            <w:pPr>
              <w:keepNext w:val="0"/>
              <w:widowControl/>
              <w:spacing w:before="0" w:after="0" w:lineRule="auto" w:line="245"/>
              <w:jc w:val="left"/>
            </w:pPr>
            <w:r/>
            <w:r>
              <w:rPr>
                <w:rFonts w:ascii="Arial" w:hAnsi="Arial"/>
                <w:b w:val="0"/>
                <w:i w:val="0"/>
                <w:color w:val="1F2937"/>
                <w:sz w:val="17"/>
              </w:rPr>
              <w:t>Date: __________________________________</w:t>
            </w:r>
          </w:p>
        </w:tc>
        <w:tc>
          <w:tcPr>
            <w:tcW w:type="dxa" w:w="4680"/>
            <w:tcMar>
              <w:top w:w="80" w:type="dxa"/>
              <w:start w:w="120" w:type="dxa"/>
              <w:bottom w:w="80" w:type="dxa"/>
              <w:end w:w="120" w:type="dxa"/>
            </w:tcMar>
            <w:vAlign w:val="center"/>
            <w:tcBorders>
              <w:bottom w:val="nil"/>
              <w:top w:val="nil"/>
              <w:start w:val="nil"/>
              <w:end w:val="nil"/>
            </w:tcBorders>
          </w:tcPr>
          <w:p>
            <w:pPr>
              <w:keepNext w:val="0"/>
              <w:widowControl/>
              <w:spacing w:before="0" w:after="0" w:lineRule="auto" w:line="245"/>
              <w:jc w:val="left"/>
            </w:pPr>
            <w:r/>
            <w:r>
              <w:rPr>
                <w:rFonts w:ascii="Arial" w:hAnsi="Arial"/>
                <w:b w:val="0"/>
                <w:i w:val="0"/>
                <w:color w:val="1F2937"/>
                <w:sz w:val="17"/>
              </w:rPr>
            </w:r>
          </w:p>
        </w:tc>
      </w:tr>
    </w:tbl>
    <w:sectPr w:rsidR="00FC693F" w:rsidRPr="0006063C" w:rsidSect="00034616">
      <w:headerReference w:type="default" r:id="rId9"/>
      <w:footerReference w:type="default" r:id="rId10"/>
      <w:footerReference w:type="first" r:id="rId11"/>
      <w:pgSz w:w="12240" w:h="15840"/>
      <w:pgMar w:top="1440" w:right="1440" w:bottom="1181" w:left="1440" w:header="547"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spacing w:before="0" w:after="0" w:lineRule="auto" w:line="240"/>
      <w:jc w:val="center"/>
    </w:pPr>
    <w:r>
      <w:rPr>
        <w:rFonts w:ascii="Arial" w:hAnsi="Arial"/>
        <w:b w:val="0"/>
        <w:i w:val="0"/>
        <w:color w:val="58585A"/>
        <w:sz w:val="16"/>
      </w:rPr>
      <w:t xml:space="preserve">MC-OWN-DBGMP-001 REV. 2.1   |   Page </w:t>
    </w:r>
    <w:r>
      <w:rPr>
        <w:rFonts w:ascii="Arial" w:hAnsi="Arial"/>
        <w:b w:val="0"/>
        <w:i w:val="0"/>
        <w:color w:val="58585A"/>
        <w:sz w:val="16"/>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spacing w:before="0" w:after="0" w:lineRule="auto" w:line="240"/>
      <w:jc w:val="center"/>
    </w:pPr>
    <w:r>
      <w:rPr>
        <w:rFonts w:ascii="Arial" w:hAnsi="Arial"/>
        <w:b w:val="0"/>
        <w:i w:val="0"/>
        <w:color w:val="58585A"/>
        <w:sz w:val="16"/>
      </w:rPr>
      <w:t>MC-OWN-DBGMP-001 REV. 2.1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widowControl/>
      <w:spacing w:before="0" w:after="0" w:lineRule="auto" w:line="240"/>
      <w:jc w:val="left"/>
    </w:pPr>
    <w:r>
      <w:rPr>
        <w:rFonts w:ascii="Arial" w:hAnsi="Arial"/>
        <w:b/>
        <w:i w:val="0"/>
        <w:color w:val="922E26"/>
        <w:sz w:val="16"/>
      </w:rPr>
      <w:t>MEFFORD CONTRACTING, LLC</w:t>
    </w:r>
    <w:r>
      <w:rPr>
        <w:rFonts w:ascii="Arial" w:hAnsi="Arial"/>
        <w:b/>
        <w:i w:val="0"/>
        <w:color w:val="58585A"/>
        <w:sz w:val="16"/>
      </w:rPr>
      <w:t xml:space="preserve">   |   DESIGN-BUILD GMP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2" w:lineRule="auto"/>
    </w:pPr>
    <w:rPr>
      <w:rFonts w:ascii="Arial" w:hAnsi="Arial"/>
      <w:color w:val="11111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80" w:after="140"/>
      <w:outlineLvl w:val="0"/>
    </w:pPr>
    <w:rPr>
      <w:rFonts w:asciiTheme="majorHAnsi" w:eastAsiaTheme="majorEastAsia" w:hAnsiTheme="majorHAnsi" w:cstheme="majorBidi" w:ascii="Arial" w:hAnsi="Arial"/>
      <w:b/>
      <w:bCs/>
      <w:color w:val="922E26"/>
      <w:sz w:val="27"/>
      <w:szCs w:val="28"/>
    </w:rPr>
  </w:style>
  <w:style w:type="paragraph" w:styleId="Heading2">
    <w:name w:val="heading 2"/>
    <w:basedOn w:val="Normal"/>
    <w:next w:val="Normal"/>
    <w:link w:val="Heading2Char"/>
    <w:uiPriority w:val="9"/>
    <w:unhideWhenUsed/>
    <w:qFormat/>
    <w:rsid w:val="00FC693F"/>
    <w:pPr>
      <w:keepNext/>
      <w:keepLines/>
      <w:pageBreakBefore w:val="0"/>
      <w:spacing w:before="180" w:after="80"/>
      <w:outlineLvl w:val="1"/>
    </w:pPr>
    <w:rPr>
      <w:rFonts w:asciiTheme="majorHAnsi" w:eastAsiaTheme="majorEastAsia" w:hAnsiTheme="majorHAnsi" w:cstheme="majorBidi" w:ascii="Arial" w:hAnsi="Arial"/>
      <w:b/>
      <w:bCs/>
      <w:color w:val="1F2937"/>
      <w:sz w:val="21"/>
      <w:szCs w:val="26"/>
    </w:rPr>
  </w:style>
  <w:style w:type="paragraph" w:styleId="Heading3">
    <w:name w:val="heading 3"/>
    <w:basedOn w:val="Normal"/>
    <w:next w:val="Normal"/>
    <w:link w:val="Heading3Char"/>
    <w:uiPriority w:val="9"/>
    <w:unhideWhenUsed/>
    <w:qFormat/>
    <w:rsid w:val="00FC693F"/>
    <w:pPr>
      <w:keepNext/>
      <w:keepLines/>
      <w:pageBreakBefore w:val="0"/>
      <w:spacing w:before="120" w:after="60"/>
      <w:outlineLvl w:val="2"/>
    </w:pPr>
    <w:rPr>
      <w:rFonts w:asciiTheme="majorHAnsi" w:eastAsiaTheme="majorEastAsia" w:hAnsiTheme="majorHAnsi" w:cstheme="majorBidi" w:ascii="Arial" w:hAnsi="Arial"/>
      <w:b/>
      <w:bCs/>
      <w:color w:val="1F2937"/>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ageBreakBefore w:val="0"/>
      <w:pBdr>
        <w:bottom w:val="single" w:sz="8" w:space="4" w:color="4F81BD" w:themeColor="accent1"/>
      </w:pBdr>
      <w:spacing w:after="140" w:line="240" w:lineRule="auto" w:before="0"/>
      <w:contextualSpacing/>
    </w:pPr>
    <w:rPr>
      <w:rFonts w:asciiTheme="majorHAnsi" w:eastAsiaTheme="majorEastAsia" w:hAnsiTheme="majorHAnsi" w:cstheme="majorBidi" w:ascii="Arial" w:hAnsi="Arial"/>
      <w:b/>
      <w:color w:val="1F2937"/>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pageBreakBefore w:val="0"/>
      <w:numPr>
        <w:ilvl w:val="1"/>
      </w:numPr>
      <w:spacing w:before="0" w:after="280"/>
    </w:pPr>
    <w:rPr>
      <w:rFonts w:asciiTheme="majorHAnsi" w:eastAsiaTheme="majorEastAsia" w:hAnsiTheme="majorHAnsi" w:cstheme="majorBidi" w:ascii="Arial" w:hAnsi="Arial"/>
      <w:b/>
      <w:i/>
      <w:iCs/>
      <w:color w:val="58585A"/>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Mefford Design-Build GMP Agreement</dc:title>
  <dc:subject>Owner agreement authorizing Phase One design and establishing the framework for a later GMP amendment</dc:subject>
  <dc:creator>Mefford Contracting, LLC</dc:creator>
  <cp:keywords>Design-Build, Guaranteed Maximum Price, GMP, owner contract</cp:keywords>
  <dc:description>generated by python-docx</dc:description>
  <cp:lastModifiedBy/>
  <cp:revision>1</cp:revision>
  <dcterms:created xsi:type="dcterms:W3CDTF">2013-12-23T23:15:00Z</dcterms:created>
  <dcterms:modified xsi:type="dcterms:W3CDTF">2013-12-23T23:15:00Z</dcterms:modified>
  <cp:category/>
</cp:coreProperties>
</file>