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Rule="auto" w:line="240"/>
        <w:jc w:val="center"/>
      </w:pPr>
      <w:r>
        <w:drawing>
          <wp:inline xmlns:a="http://schemas.openxmlformats.org/drawingml/2006/main" xmlns:pic="http://schemas.openxmlformats.org/drawingml/2006/picture">
            <wp:extent cx="1078992" cy="1119966"/>
            <wp:docPr id="1" name="Picture 1" descr="Current Mefford Contracting red-and-gray logo" title="Mefford Contracting red-and-gray logo"/>
            <wp:cNvGraphicFramePr>
              <a:graphicFrameLocks noChangeAspect="1"/>
            </wp:cNvGraphicFramePr>
            <a:graphic>
              <a:graphicData uri="http://schemas.openxmlformats.org/drawingml/2006/picture">
                <pic:pic>
                  <pic:nvPicPr>
                    <pic:cNvPr id="0" name="Mefford_logo_vertical.png"/>
                    <pic:cNvPicPr/>
                  </pic:nvPicPr>
                  <pic:blipFill>
                    <a:blip r:embed="rId12"/>
                    <a:stretch>
                      <a:fillRect/>
                    </a:stretch>
                  </pic:blipFill>
                  <pic:spPr>
                    <a:xfrm>
                      <a:off x="0" y="0"/>
                      <a:ext cx="1078992" cy="1119966"/>
                    </a:xfrm>
                    <a:prstGeom prst="rect"/>
                  </pic:spPr>
                </pic:pic>
              </a:graphicData>
            </a:graphic>
          </wp:inline>
        </w:drawing>
      </w:r>
    </w:p>
    <w:p>
      <w:pPr>
        <w:jc w:val="center"/>
      </w:pPr>
      <w:r>
        <w:rPr>
          <w:rFonts w:ascii="Arial" w:hAnsi="Arial"/>
          <w:b/>
          <w:i w:val="0"/>
          <w:color w:val="1F2937"/>
          <w:sz w:val="50"/>
        </w:rPr>
        <w:t>EXHIBIT A</w:t>
      </w:r>
    </w:p>
    <w:p>
      <w:pPr>
        <w:pStyle w:val="Subtitle"/>
        <w:jc w:val="center"/>
      </w:pPr>
      <w:r>
        <w:rPr>
          <w:rFonts w:ascii="Arial" w:hAnsi="Arial"/>
          <w:b w:val="0"/>
          <w:i w:val="0"/>
          <w:color w:val="58585A"/>
          <w:sz w:val="25"/>
        </w:rPr>
        <w:t>Design-Build GMP Amendment</w:t>
      </w:r>
    </w:p>
    <w:p>
      <w:pPr>
        <w:keepNext w:val="0"/>
        <w:widowControl/>
        <w:spacing w:before="0" w:after="400" w:lineRule="auto" w:line="240"/>
        <w:jc w:val="center"/>
      </w:pPr>
      <w:r>
        <w:rPr>
          <w:rFonts w:ascii="Arial" w:hAnsi="Arial"/>
          <w:b/>
          <w:i w:val="0"/>
          <w:color w:val="922E26"/>
          <w:sz w:val="18"/>
        </w:rPr>
        <w:t>MC-OWN-DBGMP-001-A  |  REV. 2.1</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AMENDMENT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Original 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Exhibit A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Mefford project number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FINAL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DATE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Guaranteed Maximum Price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GMP proposal / estimate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GMP expiration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A.1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SUM</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A.2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A.3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INFORMATION UPON WHICH THE AMENDMENT IS BASED</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A.4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DESIGN-BUILDER'S PERSONNEL, CONTRACTORS, AND SUPPLIERS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A.5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COST OF THE WORK</w:t>
            </w:r>
          </w:p>
        </w:tc>
      </w:tr>
    </w:tbl>
    <w:p>
      <w:pPr>
        <w:keepNext w:val="0"/>
        <w:widowControl/>
        <w:spacing w:before="0" w:after="140" w:lineRule="auto" w:line="254"/>
      </w:pPr>
      <w:r>
        <w:rPr>
          <w:rFonts w:ascii="Arial" w:hAnsi="Arial"/>
          <w:b w:val="0"/>
          <w:i w:val="0"/>
          <w:color w:val="111111"/>
          <w:sz w:val="19"/>
        </w:rPr>
        <w:t>By executing this Exhibit A, Owner accepts the Guaranteed Maximum Price, Contract Time, cost breakdown, assumptions, clarifications, exclusions, allowances, contingencies, and other terms stated in this Amendment and authorizes Design-Builder to proceed with the Work after satisfaction of the stated conditions.</w:t>
      </w:r>
    </w:p>
    <w:p>
      <w:pPr>
        <w:pStyle w:val="Heading1"/>
        <w:keepNext/>
      </w:pPr>
      <w:r>
        <w:rPr>
          <w:rFonts w:ascii="Arial" w:hAnsi="Arial"/>
          <w:b/>
          <w:i w:val="0"/>
          <w:color w:val="922E26"/>
          <w:sz w:val="27"/>
        </w:rPr>
        <w:t>ARTICLE A.1  |  CONTRACT SUM</w:t>
      </w:r>
    </w:p>
    <w:p>
      <w:pPr>
        <w:keepNext w:val="0"/>
        <w:keepLines/>
        <w:widowControl/>
        <w:spacing w:before="0" w:after="110" w:lineRule="auto" w:line="252"/>
      </w:pPr>
      <w:r>
        <w:rPr>
          <w:rFonts w:ascii="Arial" w:hAnsi="Arial"/>
          <w:b/>
          <w:i w:val="0"/>
          <w:color w:val="1F2937"/>
          <w:sz w:val="19"/>
        </w:rPr>
        <w:t xml:space="preserve">A.1.1  Contract Basis.  </w:t>
      </w:r>
      <w:r>
        <w:rPr>
          <w:rFonts w:ascii="Arial" w:hAnsi="Arial"/>
          <w:b w:val="0"/>
          <w:i w:val="0"/>
          <w:color w:val="111111"/>
          <w:sz w:val="19"/>
        </w:rPr>
        <w:t>Owner shall pay Design-Builder the adjusted Contract Sum for Work performed after this Amendment. The Contract Sum is the Cost of the Work plus Design-Builder's Fee with a Guaranteed Maximum Price. Phase One compensation paid before this Amendment is not included unless expressly identified below.</w:t>
      </w:r>
    </w:p>
    <w:p>
      <w:pPr>
        <w:keepNext w:val="0"/>
        <w:keepLines/>
        <w:widowControl/>
        <w:spacing w:before="0" w:after="110" w:lineRule="auto" w:line="252"/>
      </w:pPr>
      <w:r>
        <w:rPr>
          <w:rFonts w:ascii="Arial" w:hAnsi="Arial"/>
          <w:b/>
          <w:i w:val="0"/>
          <w:color w:val="1F2937"/>
          <w:sz w:val="19"/>
        </w:rPr>
        <w:t xml:space="preserve">A.1.2  Design-Builder's Fee.  </w:t>
      </w:r>
      <w:r>
        <w:rPr>
          <w:rFonts w:ascii="Arial" w:hAnsi="Arial"/>
          <w:b w:val="0"/>
          <w:i w:val="0"/>
          <w:color w:val="111111"/>
          <w:sz w:val="19"/>
        </w:rPr>
        <w:t>The Design-Builder's Fee, including its basis and method of adjustment for Changes, is stated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DESIGN-BUILDER COMPENSATION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AMOUNT / FORMULA</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Fee basis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Design-Builder's Fee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management fee or overhead and profit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Fee treatment for additive and deductive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A.1.3  Guaranteed Maximum Price.  </w:t>
      </w:r>
      <w:r>
        <w:rPr>
          <w:rFonts w:ascii="Arial" w:hAnsi="Arial"/>
          <w:b w:val="0"/>
          <w:i w:val="0"/>
          <w:color w:val="111111"/>
          <w:sz w:val="19"/>
        </w:rPr>
        <w:t>The sum of the Cost of the Work and Design-Builder's Fee is guaranteed not to exceed the amount below, subject to authorized adjustments under the Contract Documents. Included costs exceeding the adjusted GMP are borne by Design-Builder unless caused by a compensable Change or other relief provided by the Contract.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GMP SUMMARY</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GMP in figures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GMP in words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Cost of the Work subtotal</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Design-Builder's Fee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Total allowances and contingencies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Phase One amount included or credited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bl>
    <w:p>
      <w:pPr>
        <w:spacing w:after="40"/>
      </w:pPr>
    </w:p>
    <w:p>
      <w:pPr>
        <w:keepNext w:val="0"/>
        <w:keepLines/>
        <w:widowControl/>
        <w:spacing w:before="0" w:after="110" w:lineRule="auto" w:line="252"/>
      </w:pPr>
      <w:r>
        <w:rPr>
          <w:rFonts w:ascii="Arial" w:hAnsi="Arial"/>
          <w:b/>
          <w:i w:val="0"/>
          <w:color w:val="1F2937"/>
          <w:sz w:val="19"/>
        </w:rPr>
        <w:t xml:space="preserve">A.1.4  Itemized Statement of the GMP.  </w:t>
      </w:r>
      <w:r>
        <w:rPr>
          <w:rFonts w:ascii="Arial" w:hAnsi="Arial"/>
          <w:b w:val="0"/>
          <w:i w:val="0"/>
          <w:color w:val="111111"/>
          <w:sz w:val="19"/>
        </w:rPr>
        <w:t>The following schedule organizes the GMP by trade category and separately identifies allowances, contingencies, fees, and other components. The total of this schedule is the GMP stated above.</w:t>
      </w:r>
    </w:p>
    <w:tbl>
      <w:tblPr>
        <w:tblW w:type="dxa" w:w="9360"/>
        <w:jc w:val="left"/>
        <w:tblLayout w:type="fixed"/>
        <w:tblLook w:firstColumn="1" w:firstRow="1" w:lastColumn="0" w:lastRow="0" w:noHBand="0" w:noVBand="1" w:val="04A0"/>
        <w:tblInd w:w="120" w:type="dxa"/>
      </w:tblPr>
      <w:tblGrid>
        <w:gridCol w:w="1512"/>
        <w:gridCol w:w="4536"/>
        <w:gridCol w:w="1512"/>
        <w:gridCol w:w="1800"/>
      </w:tblGrid>
      <w:tr>
        <w:trPr>
          <w:trHeight w:hRule="atLeast"/>
          <w:tblHeader w:val="true"/>
        </w:trPr>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Cost code</w:t>
            </w:r>
          </w:p>
        </w:tc>
        <w:tc>
          <w:tcPr>
            <w:tcW w:type="dxa" w:w="45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Trade / category</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Allowance / contingency / notes</w:t>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Preconstruction and design</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and agency fees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General conditions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Design-Builder's Fee</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Contingencies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Existing conditions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Concrete</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Masonry</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Metals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Wood, plastics, and composites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Thermal and moisture protection</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Openings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Finishes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Specialties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Equipment</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Furnishings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construction</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Conveying equipment</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suppression</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Plumbing</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HVAC</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Integrated automation</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Electrical</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Communications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Electronic safety and security</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Earthwork</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Exterior improvements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Utilities</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Owner-furnished work credit</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TOTAL</w:t>
            </w:r>
          </w:p>
        </w:tc>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Guaranteed Maximum Price</w:t>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A.1.5  Alternates.  </w:t>
      </w:r>
      <w:r>
        <w:rPr>
          <w:rFonts w:ascii="Arial" w:hAnsi="Arial"/>
          <w:b w:val="0"/>
          <w:i w:val="0"/>
          <w:color w:val="111111"/>
          <w:sz w:val="19"/>
        </w:rPr>
        <w:t>The GMP includes only alternates shown as accepted below. An unaccepted alternate may be accepted only by a signed Change Order before its stated deadline.</w:t>
      </w:r>
    </w:p>
    <w:tbl>
      <w:tblPr>
        <w:tblW w:type="dxa" w:w="9360"/>
        <w:jc w:val="left"/>
        <w:tblLayout w:type="fixed"/>
        <w:tblLook w:firstColumn="1" w:firstRow="1" w:lastColumn="0" w:lastRow="0" w:noHBand="0" w:noVBand="1" w:val="04A0"/>
        <w:tblInd w:w="120" w:type="dxa"/>
      </w:tblPr>
      <w:tblGrid>
        <w:gridCol w:w="1152"/>
        <w:gridCol w:w="4896"/>
        <w:gridCol w:w="1440"/>
        <w:gridCol w:w="1872"/>
      </w:tblGrid>
      <w:tr>
        <w:trPr>
          <w:trHeight w:hRule="atLeast"/>
          <w:tblHeader w:val="true"/>
        </w:trPr>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Alternate</w:t>
            </w:r>
          </w:p>
        </w:tc>
        <w:tc>
          <w:tcPr>
            <w:tcW w:type="dxa" w:w="48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Add / deduct</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Acceptance deadline / status</w:t>
            </w:r>
          </w:p>
        </w:tc>
      </w:tr>
      <w:tr>
        <w:trPr>
          <w:cantSplit/>
          <w:trHeight w:hRule="atLeast"/>
        </w:trPr>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A.1.6  Unit Prices.  </w:t>
      </w:r>
      <w:r>
        <w:rPr>
          <w:rFonts w:ascii="Arial" w:hAnsi="Arial"/>
          <w:b w:val="0"/>
          <w:i w:val="0"/>
          <w:color w:val="111111"/>
          <w:sz w:val="19"/>
        </w:rPr>
        <w:t>The following unit prices apply only within the stated quantity and measurement limitations. Final quantity shall be supported by agreed measurement records.</w:t>
      </w:r>
    </w:p>
    <w:tbl>
      <w:tblPr>
        <w:tblW w:type="dxa" w:w="9360"/>
        <w:jc w:val="left"/>
        <w:tblLayout w:type="fixed"/>
        <w:tblLook w:firstColumn="1" w:firstRow="1" w:lastColumn="0" w:lastRow="0" w:noHBand="0" w:noVBand="1" w:val="04A0"/>
        <w:tblInd w:w="120" w:type="dxa"/>
      </w:tblPr>
      <w:tblGrid>
        <w:gridCol w:w="2520"/>
        <w:gridCol w:w="1152"/>
        <w:gridCol w:w="1512"/>
        <w:gridCol w:w="4176"/>
      </w:tblGrid>
      <w:tr>
        <w:trPr>
          <w:trHeight w:hRule="atLeast"/>
          <w:tblHeader w:val="true"/>
        </w:trPr>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price</w:t>
            </w:r>
          </w:p>
        </w:tc>
        <w:tc>
          <w:tcPr>
            <w:tcW w:type="dxa" w:w="417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Quantity / measurement limitation</w:t>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A.1.7  GMP Assumptions, Clarifications, and Exclusions.  </w:t>
      </w:r>
      <w:r>
        <w:rPr>
          <w:rFonts w:ascii="Arial" w:hAnsi="Arial"/>
          <w:b w:val="0"/>
          <w:i w:val="0"/>
          <w:color w:val="111111"/>
          <w:sz w:val="19"/>
        </w:rPr>
        <w:t>The GMP is based on the following assumptions, clarifications, exclusions, pricing conditions, escalation terms, and unpriced risks. These terms are part of the approved pricing basis.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PRICING BASIS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Assumptions and clarifications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Exclusions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Pricing date, escalation, tariffs, and volatility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Unpriced or deferred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GMP savings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A.1.8  Progress Payments.  </w:t>
      </w:r>
      <w:r>
        <w:rPr>
          <w:rFonts w:ascii="Arial" w:hAnsi="Arial"/>
          <w:b w:val="0"/>
          <w:i w:val="0"/>
          <w:color w:val="111111"/>
          <w:sz w:val="19"/>
        </w:rPr>
        <w:t>Design-Builder shall submit monthly applications for payment. Each application shall show the current schedule of values, percentage complete, eligible stored materials, Cost of the Work, Fee, approved Changes, allowance and contingency activity, retainage, previous payments, and amount due, together with the agreed supporting documentation.</w:t>
      </w:r>
    </w:p>
    <w:p>
      <w:pPr>
        <w:keepNext w:val="0"/>
        <w:keepLines/>
        <w:widowControl/>
        <w:spacing w:before="0" w:after="110" w:lineRule="auto" w:line="252"/>
      </w:pPr>
      <w:r>
        <w:rPr>
          <w:rFonts w:ascii="Arial" w:hAnsi="Arial"/>
          <w:b/>
          <w:i w:val="0"/>
          <w:color w:val="1F2937"/>
          <w:sz w:val="19"/>
        </w:rPr>
        <w:t xml:space="preserve">A.1.9  Payment Timing.  </w:t>
      </w:r>
      <w:r>
        <w:rPr>
          <w:rFonts w:ascii="Arial" w:hAnsi="Arial"/>
          <w:b w:val="0"/>
          <w:i w:val="0"/>
          <w:color w:val="111111"/>
          <w:sz w:val="19"/>
        </w:rPr>
        <w:t>The period covered by each application and the dates for submission, review, and payment are stated below. If an application is received after the cutoff, payment is due within the alternative period stated below. Undisputed amounts shall be paid when due.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Application date or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review / certification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approval</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A.1.10  Payment Support and Audit.  </w:t>
      </w:r>
      <w:r>
        <w:rPr>
          <w:rFonts w:ascii="Arial" w:hAnsi="Arial"/>
          <w:b w:val="0"/>
          <w:i w:val="0"/>
          <w:color w:val="111111"/>
          <w:sz w:val="19"/>
        </w:rPr>
        <w:t>Each application shall include the current schedule of values, cost report, approved change log, allowance and contingency log, invoices or other cost support reasonably requested, and lien waivers required by the Contract or applicable law. Stored materials must be identified, insured, protected, and supported by evidence of title. Owner may rely on submitted information without being deemed to have made an exhaustive audit or continuous site inspection. Any audit shall be conducted on reasonable notice and shall protect privileged, confidential, and unrelated business information.</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PAYMENT SUPPORT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payment or lender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stored-material or lien-waiver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A.1.11  Retainage.  </w:t>
      </w:r>
      <w:r>
        <w:rPr>
          <w:rFonts w:ascii="Arial" w:hAnsi="Arial"/>
          <w:b w:val="0"/>
          <w:i w:val="0"/>
          <w:color w:val="111111"/>
          <w:sz w:val="19"/>
        </w:rPr>
        <w:t>Retainage shall be calculated at the rate stated below, subject to mandatory law. The same rate applies to lower-tier work unless otherwise stated. Retainage may be withheld only from the portions of Work to which it applies and shall be released or reduced when the stated conditions are satisfied.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Design-services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A.1.12  Final Payment.  </w:t>
      </w:r>
      <w:r>
        <w:rPr>
          <w:rFonts w:ascii="Arial" w:hAnsi="Arial"/>
          <w:b w:val="0"/>
          <w:i w:val="0"/>
          <w:color w:val="111111"/>
          <w:sz w:val="19"/>
        </w:rPr>
        <w:t>Final Payment is due after Design-Builder has fully performed the Contract, delivered final accounting and required closeout, furnished final lien documentation and consent of surety when applicable, and satisfied the conditions stated below, except for obligations that survive Final Payment.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Payment due after satisfaction of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A.2  |  CONTRACT TIME</w:t>
      </w:r>
    </w:p>
    <w:p>
      <w:pPr>
        <w:keepNext w:val="0"/>
        <w:keepLines/>
        <w:widowControl/>
        <w:spacing w:before="0" w:after="110" w:lineRule="auto" w:line="252"/>
      </w:pPr>
      <w:r>
        <w:rPr>
          <w:rFonts w:ascii="Arial" w:hAnsi="Arial"/>
          <w:b/>
          <w:i w:val="0"/>
          <w:color w:val="1F2937"/>
          <w:sz w:val="19"/>
        </w:rPr>
        <w:t xml:space="preserve">A.2.1  Contract Time.  </w:t>
      </w:r>
      <w:r>
        <w:rPr>
          <w:rFonts w:ascii="Arial" w:hAnsi="Arial"/>
          <w:b w:val="0"/>
          <w:i w:val="0"/>
          <w:color w:val="111111"/>
          <w:sz w:val="19"/>
        </w:rPr>
        <w:t>Contract Time is the period, including authorized adjustments, for Design-Builder to achieve Substantial Completion and Final Completion of the Work.</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CONTRACT TIME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Notice to Proceed / construction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A.2.2  Milestones.  </w:t>
      </w:r>
      <w:r>
        <w:rPr>
          <w:rFonts w:ascii="Arial" w:hAnsi="Arial"/>
          <w:b w:val="0"/>
          <w:i w:val="0"/>
          <w:color w:val="111111"/>
          <w:sz w:val="19"/>
        </w:rPr>
        <w:t>The following milestones are binding only to the extent identified as contractual. Other schedule activities are planning dates subject to normal update.</w:t>
      </w: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Milestone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Contractual consequence / notes</w:t>
            </w:r>
          </w:p>
        </w:tc>
      </w:tr>
      <w:tr>
        <w:trPr>
          <w:cantSplit/>
          <w:trHeight w:hRule="atLeast"/>
        </w:trPr>
        <w:tc>
          <w:tcPr>
            <w:tcW w:type="dxa" w:w="29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A.2.3  Delay Terms.  </w:t>
      </w:r>
      <w:r>
        <w:rPr>
          <w:rFonts w:ascii="Arial" w:hAnsi="Arial"/>
          <w:b w:val="0"/>
          <w:i w:val="0"/>
          <w:color w:val="111111"/>
          <w:sz w:val="19"/>
        </w:rPr>
        <w:t>Delay notice, compensable delay, liquidated damages, and any early-completion incentive are governed by the following project terms and Article 8 of the Agreement.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DELAY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PROJECT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and any cap / grace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Early-completion incentive or other special delay term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A.3  |  INFORMATION UPON WHICH THE AMENDMENT IS BASED</w:t>
      </w:r>
    </w:p>
    <w:p>
      <w:pPr>
        <w:keepNext w:val="0"/>
        <w:keepLines/>
        <w:widowControl/>
        <w:spacing w:before="0" w:after="110" w:lineRule="auto" w:line="252"/>
      </w:pPr>
      <w:r>
        <w:rPr>
          <w:rFonts w:ascii="Arial" w:hAnsi="Arial"/>
          <w:b/>
          <w:i w:val="0"/>
          <w:color w:val="1F2937"/>
          <w:sz w:val="19"/>
        </w:rPr>
        <w:t xml:space="preserve">A.3.1  Controlling Basis.  </w:t>
      </w:r>
      <w:r>
        <w:rPr>
          <w:rFonts w:ascii="Arial" w:hAnsi="Arial"/>
          <w:b w:val="0"/>
          <w:i w:val="0"/>
          <w:color w:val="111111"/>
          <w:sz w:val="19"/>
        </w:rPr>
        <w:t>The GMP and Contract Time are based on the conditions, specifications, drawings, schedules, narratives, reports, assumptions, clarifications, exclusions, and other documents specifically identified below. No unlisted proposal, drawing, or communication is incorporated.</w:t>
      </w:r>
    </w:p>
    <w:tbl>
      <w:tblPr>
        <w:tblW w:type="dxa" w:w="9360"/>
        <w:jc w:val="left"/>
        <w:tblLayout w:type="fixed"/>
        <w:tblLook w:firstColumn="1" w:firstRow="1" w:lastColumn="0" w:lastRow="0" w:noHBand="0" w:noVBand="1" w:val="04A0"/>
        <w:tblInd w:w="120" w:type="dxa"/>
      </w:tblPr>
      <w:tblGrid>
        <w:gridCol w:w="3240"/>
        <w:gridCol w:w="4680"/>
        <w:gridCol w:w="1440"/>
      </w:tblGrid>
      <w:tr>
        <w:trPr>
          <w:trHeight w:hRule="atLeast"/>
          <w:tblHeader w:val="true"/>
        </w:trPr>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 type</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Scope / supplementary conditions</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GMP proposal / estimate</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Drawing index or drawing set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Specification index or specification set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schedule</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Owner's Criteria / program</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geotechnical, or environmental report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 or alternates schedule</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A.3.2  Sustainability.  </w:t>
      </w:r>
      <w:r>
        <w:rPr>
          <w:rFonts w:ascii="Arial" w:hAnsi="Arial"/>
          <w:b w:val="0"/>
          <w:i w:val="0"/>
          <w:color w:val="111111"/>
          <w:sz w:val="19"/>
        </w:rPr>
        <w:t>Any sustainability objective, certification, measure, testing, or documentation included in the GMP is stated below. If none is stated, no third-party certification is included.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SUSTAINABILITY BASIS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Objective, certification, measures, and responsible party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A.3.3  Allowances and Contingencies.  </w:t>
      </w:r>
      <w:r>
        <w:rPr>
          <w:rFonts w:ascii="Arial" w:hAnsi="Arial"/>
          <w:b w:val="0"/>
          <w:i w:val="0"/>
          <w:color w:val="111111"/>
          <w:sz w:val="19"/>
        </w:rPr>
        <w:t>Each allowance and contingency is limited to its stated purpose and cost components. Allowance adjustments and contingency use are governed by the Agreement and the project rules below.</w:t>
      </w:r>
    </w:p>
    <w:tbl>
      <w:tblPr>
        <w:tblW w:type="dxa" w:w="9360"/>
        <w:jc w:val="left"/>
        <w:tblLayout w:type="fixed"/>
        <w:tblLook w:firstColumn="1" w:firstRow="1" w:lastColumn="0" w:lastRow="0" w:noHBand="0" w:noVBand="1" w:val="04A0"/>
        <w:tblInd w:w="120" w:type="dxa"/>
      </w:tblPr>
      <w:tblGrid>
        <w:gridCol w:w="2520"/>
        <w:gridCol w:w="1440"/>
        <w:gridCol w:w="3096"/>
        <w:gridCol w:w="2304"/>
      </w:tblGrid>
      <w:tr>
        <w:trPr>
          <w:trHeight w:hRule="atLeast"/>
          <w:tblHeader w:val="true"/>
        </w:trPr>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Allowance / contingency</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30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cost components</w:t>
            </w:r>
          </w:p>
        </w:tc>
        <w:tc>
          <w:tcPr>
            <w:tcW w:type="dxa" w:w="230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Decision / use rule</w:t>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30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A.3.4  Design-Builder Assumptions and Clarifications.  </w:t>
      </w:r>
      <w:r>
        <w:rPr>
          <w:rFonts w:ascii="Arial" w:hAnsi="Arial"/>
          <w:b w:val="0"/>
          <w:i w:val="0"/>
          <w:color w:val="111111"/>
          <w:sz w:val="19"/>
        </w:rPr>
        <w:t>The assumptions and clarifications stated in Article A.1.7 and the listed basis documents are incorporated into the GMP and Contract Time. No additional project entry is required here.</w:t>
      </w:r>
    </w:p>
    <w:p>
      <w:pPr>
        <w:keepNext w:val="0"/>
        <w:keepLines/>
        <w:widowControl/>
        <w:spacing w:before="0" w:after="110" w:lineRule="auto" w:line="252"/>
      </w:pPr>
      <w:r>
        <w:rPr>
          <w:rFonts w:ascii="Arial" w:hAnsi="Arial"/>
          <w:b/>
          <w:i w:val="0"/>
          <w:color w:val="1F2937"/>
          <w:sz w:val="19"/>
        </w:rPr>
        <w:t xml:space="preserve">A.3.5  Exclusions and Deviations.  </w:t>
      </w:r>
      <w:r>
        <w:rPr>
          <w:rFonts w:ascii="Arial" w:hAnsi="Arial"/>
          <w:b w:val="0"/>
          <w:i w:val="0"/>
          <w:color w:val="111111"/>
          <w:sz w:val="19"/>
        </w:rPr>
        <w:t>The exclusions stated in Article A.1.7 and the listed basis documents are incorporated into the GMP. Any accepted deviation from the Owner's Criteria is stated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DEVIATION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Accepted deviations from Owner's Criteria</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A.3.6  Additional Owner Submittals.  </w:t>
      </w:r>
      <w:r>
        <w:rPr>
          <w:rFonts w:ascii="Arial" w:hAnsi="Arial"/>
          <w:b w:val="0"/>
          <w:i w:val="0"/>
          <w:color w:val="111111"/>
          <w:sz w:val="19"/>
        </w:rPr>
        <w:t>The following submissions require Owner review after this Amendment in addition to ordinary shop drawings and product data.</w:t>
      </w:r>
    </w:p>
    <w:tbl>
      <w:tblPr>
        <w:tblW w:type="dxa" w:w="9360"/>
        <w:jc w:val="left"/>
        <w:tblLayout w:type="fixed"/>
        <w:tblLook w:firstColumn="1" w:firstRow="1" w:lastColumn="0" w:lastRow="0" w:noHBand="0" w:noVBand="1" w:val="04A0"/>
        <w:tblInd w:w="120" w:type="dxa"/>
      </w:tblPr>
      <w:tblGrid>
        <w:gridCol w:w="2592"/>
        <w:gridCol w:w="3600"/>
        <w:gridCol w:w="1584"/>
        <w:gridCol w:w="1584"/>
      </w:tblGrid>
      <w:tr>
        <w:trPr>
          <w:trHeight w:hRule="atLeast"/>
          <w:tblHeader w:val="true"/>
        </w:trPr>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Submission</w:t>
            </w:r>
          </w:p>
        </w:tc>
        <w:tc>
          <w:tcPr>
            <w:tcW w:type="dxa" w:w="36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content</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Owner review period</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Decision deadline</w:t>
            </w:r>
          </w:p>
        </w:tc>
      </w:tr>
      <w:tr>
        <w:trPr>
          <w:cantSplit/>
          <w:trHeight w:hRule="atLeast"/>
        </w:trPr>
        <w:tc>
          <w:tcPr>
            <w:tcW w:type="dxa" w:w="259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A.3.7  Construction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Professional liability</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Bond premium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A.3.8  Permits, Testing, Commissioning, and Closeout.  </w:t>
      </w:r>
      <w:r>
        <w:rPr>
          <w:rFonts w:ascii="Arial" w:hAnsi="Arial"/>
          <w:b w:val="0"/>
          <w:i w:val="0"/>
          <w:color w:val="111111"/>
          <w:sz w:val="19"/>
        </w:rPr>
        <w:t>Responsibility for Project approvals, testing, commissioning, regulatory completion, and closeout is allocated below. Cost treatment is included in the GMP only to the extent stated.</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GMP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permit</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Trade permits and utility applications</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w:t>
            </w:r>
          </w:p>
        </w:tc>
        <w:tc>
          <w:tcPr>
            <w:tcW w:type="dxa" w:w="19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COMPLETION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 prerequisites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package, record documents, and O&amp;M materials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Training and commissioning</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Warranty commencement or partial occupancy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A.4  |  DESIGN-BUILDER'S PERSONNEL, CONTRACTORS, AND SUPPLIERS</w:t>
      </w:r>
    </w:p>
    <w:p>
      <w:pPr>
        <w:keepNext w:val="0"/>
        <w:keepLines/>
        <w:widowControl/>
        <w:spacing w:before="0" w:after="110" w:lineRule="auto" w:line="252"/>
      </w:pPr>
      <w:r>
        <w:rPr>
          <w:rFonts w:ascii="Arial" w:hAnsi="Arial"/>
          <w:b/>
          <w:i w:val="0"/>
          <w:color w:val="1F2937"/>
          <w:sz w:val="19"/>
        </w:rPr>
        <w:t xml:space="preserve">A.4.1  Key Personnel.  </w:t>
      </w:r>
      <w:r>
        <w:rPr>
          <w:rFonts w:ascii="Arial" w:hAnsi="Arial"/>
          <w:b w:val="0"/>
          <w:i w:val="0"/>
          <w:color w:val="111111"/>
          <w:sz w:val="19"/>
        </w:rPr>
        <w:t>Design-Builder shall assign the following key personnel. Substitution requires reasonable prior notice and a replacement with comparable qualifications.</w:t>
      </w:r>
    </w:p>
    <w:tbl>
      <w:tblPr>
        <w:tblW w:type="dxa" w:w="9360"/>
        <w:jc w:val="left"/>
        <w:tblLayout w:type="fixed"/>
        <w:tblLook w:firstColumn="1" w:firstRow="1" w:lastColumn="0" w:lastRow="0" w:noHBand="0" w:noVBand="1" w:val="04A0"/>
        <w:tblInd w:w="120" w:type="dxa"/>
      </w:tblPr>
      <w:tblGrid>
        <w:gridCol w:w="2448"/>
        <w:gridCol w:w="2232"/>
        <w:gridCol w:w="2448"/>
        <w:gridCol w:w="2232"/>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w:t>
            </w:r>
          </w:p>
        </w:tc>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 / phone</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Safety / closeout lead</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A.4.2  Design Professionals and Consultants.  </w:t>
      </w:r>
      <w:r>
        <w:rPr>
          <w:rFonts w:ascii="Arial" w:hAnsi="Arial"/>
          <w:b w:val="0"/>
          <w:i w:val="0"/>
          <w:color w:val="111111"/>
          <w:sz w:val="19"/>
        </w:rPr>
        <w:t>Design-Builder shall retain the following Design Professionals and consultants for the stated disciplines and scopes.</w:t>
      </w:r>
    </w:p>
    <w:tbl>
      <w:tblPr>
        <w:tblW w:type="dxa" w:w="9360"/>
        <w:jc w:val="left"/>
        <w:tblLayout w:type="fixed"/>
        <w:tblLook w:firstColumn="1" w:firstRow="1" w:lastColumn="0" w:lastRow="0" w:noHBand="0" w:noVBand="1" w:val="04A0"/>
        <w:tblInd w:w="120" w:type="dxa"/>
      </w:tblPr>
      <w:tblGrid>
        <w:gridCol w:w="1800"/>
        <w:gridCol w:w="3096"/>
        <w:gridCol w:w="1800"/>
        <w:gridCol w:w="2664"/>
      </w:tblGrid>
      <w:tr>
        <w:trPr>
          <w:trHeight w:hRule="atLeast"/>
          <w:tblHeader w:val="true"/>
        </w:trPr>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Discipline</w:t>
            </w:r>
          </w:p>
        </w:tc>
        <w:tc>
          <w:tcPr>
            <w:tcW w:type="dxa" w:w="30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Firm / professional</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License / state</w:t>
            </w:r>
          </w:p>
        </w:tc>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w:t>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Architect</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Civil</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Structural</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Mechanical / electrical / plumbing</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protection</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Interiors / landscape</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Specialty / other</w:t>
            </w:r>
          </w:p>
        </w:tc>
        <w:tc>
          <w:tcPr>
            <w:tcW w:type="dxa" w:w="30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A.4.3  Major Contractors and Suppliers.  </w:t>
      </w:r>
      <w:r>
        <w:rPr>
          <w:rFonts w:ascii="Arial" w:hAnsi="Arial"/>
          <w:b w:val="0"/>
          <w:i w:val="0"/>
          <w:color w:val="111111"/>
          <w:sz w:val="19"/>
        </w:rPr>
        <w:t>The following major contractors or suppliers are accepted or specifically required. A blank line does not restrict Design-Builder's ordinary procurement authority.</w:t>
      </w:r>
    </w:p>
    <w:tbl>
      <w:tblPr>
        <w:tblW w:type="dxa" w:w="9360"/>
        <w:jc w:val="left"/>
        <w:tblLayout w:type="fixed"/>
        <w:tblLook w:firstColumn="1" w:firstRow="1" w:lastColumn="0" w:lastRow="0" w:noHBand="0" w:noVBand="1" w:val="04A0"/>
        <w:tblInd w:w="120" w:type="dxa"/>
      </w:tblPr>
      <w:tblGrid>
        <w:gridCol w:w="2160"/>
        <w:gridCol w:w="2664"/>
        <w:gridCol w:w="2016"/>
        <w:gridCol w:w="2520"/>
      </w:tblGrid>
      <w:tr>
        <w:trPr>
          <w:trHeight w:hRule="atLeast"/>
          <w:tblHeader w:val="true"/>
        </w:trPr>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Trade / scope</w:t>
            </w:r>
          </w:p>
        </w:tc>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Firm</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 basis</w:t>
            </w:r>
          </w:p>
        </w:tc>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Owner-directed / notes</w:t>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16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66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1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2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pStyle w:val="Heading1"/>
        <w:keepNext/>
      </w:pPr>
      <w:r>
        <w:rPr>
          <w:rFonts w:ascii="Arial" w:hAnsi="Arial"/>
          <w:b/>
          <w:i w:val="0"/>
          <w:color w:val="922E26"/>
          <w:sz w:val="27"/>
        </w:rPr>
        <w:t>ARTICLE A.5  |  COST OF THE WORK</w:t>
      </w:r>
    </w:p>
    <w:p>
      <w:pPr>
        <w:keepNext w:val="0"/>
        <w:keepLines/>
        <w:widowControl/>
        <w:spacing w:before="0" w:after="110" w:lineRule="auto" w:line="252"/>
      </w:pPr>
      <w:r>
        <w:rPr>
          <w:rFonts w:ascii="Arial" w:hAnsi="Arial"/>
          <w:b/>
          <w:i w:val="0"/>
          <w:color w:val="1F2937"/>
          <w:sz w:val="19"/>
        </w:rPr>
        <w:t xml:space="preserve">A.5.1  General.  </w:t>
      </w:r>
      <w:r>
        <w:rPr>
          <w:rFonts w:ascii="Arial" w:hAnsi="Arial"/>
          <w:b w:val="0"/>
          <w:i w:val="0"/>
          <w:color w:val="111111"/>
          <w:sz w:val="19"/>
        </w:rPr>
        <w:t>Cost of the Work means the reasonable, necessary, Project-specific costs actually incurred by Design-Builder in proper performance of the Work and within the categories below. Cost of the Work excludes Design-Builder's Fee except where expressly stated and remains subject to the adjusted GMP.</w:t>
      </w:r>
    </w:p>
    <w:p>
      <w:pPr>
        <w:keepNext w:val="0"/>
        <w:keepLines/>
        <w:widowControl/>
        <w:spacing w:before="0" w:after="110" w:lineRule="auto" w:line="252"/>
      </w:pPr>
      <w:r>
        <w:rPr>
          <w:rFonts w:ascii="Arial" w:hAnsi="Arial"/>
          <w:b/>
          <w:i w:val="0"/>
          <w:color w:val="1F2937"/>
          <w:sz w:val="19"/>
        </w:rPr>
        <w:t xml:space="preserve">A.5.2  Labor Costs.  </w:t>
      </w:r>
      <w:r>
        <w:rPr>
          <w:rFonts w:ascii="Arial" w:hAnsi="Arial"/>
          <w:b w:val="0"/>
          <w:i w:val="0"/>
          <w:color w:val="111111"/>
          <w:sz w:val="19"/>
        </w:rPr>
        <w:t>Cost of the Work includes wages of construction workers directly employed on the Work; approved supervisory and administrative personnel stationed at the site; authorized off-site personnel directly engaged in expediting or Project production; and payroll taxes, insurance, assessments, and customary benefits attributable to those wages. Home-office personnel are included only if expressly identified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LABOR COST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Eligible home-office or supervisory roles and rates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Labor burden and overtime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A.5.3  Design, Consultant, Subcontract, and Supplier Costs.  </w:t>
      </w:r>
      <w:r>
        <w:rPr>
          <w:rFonts w:ascii="Arial" w:hAnsi="Arial"/>
          <w:b w:val="0"/>
          <w:i w:val="0"/>
          <w:color w:val="111111"/>
          <w:sz w:val="19"/>
        </w:rPr>
        <w:t>Cost of the Work includes payments properly made to Design Professionals, consultants, subcontractors, and suppliers under written agreements for the Work, including authorized change, cancellation, and closeout cost.</w:t>
      </w:r>
    </w:p>
    <w:p>
      <w:pPr>
        <w:keepNext w:val="0"/>
        <w:keepLines/>
        <w:widowControl/>
        <w:spacing w:before="0" w:after="110" w:lineRule="auto" w:line="252"/>
      </w:pPr>
      <w:r>
        <w:rPr>
          <w:rFonts w:ascii="Arial" w:hAnsi="Arial"/>
          <w:b/>
          <w:i w:val="0"/>
          <w:color w:val="1F2937"/>
          <w:sz w:val="19"/>
        </w:rPr>
        <w:t xml:space="preserve">A.5.4  Materials and Equipment.  </w:t>
      </w:r>
      <w:r>
        <w:rPr>
          <w:rFonts w:ascii="Arial" w:hAnsi="Arial"/>
          <w:b w:val="0"/>
          <w:i w:val="0"/>
          <w:color w:val="111111"/>
          <w:sz w:val="19"/>
        </w:rPr>
        <w:t>Cost of the Work includes purchase, transportation, storage, and protection of materials and equipment incorporated or intended for incorporation, together with reasonable waste. Unused excess materials paid by Owner become Owner's property or may be sold with net proceeds credited to the Cost of the Work.</w:t>
      </w:r>
    </w:p>
    <w:p>
      <w:pPr>
        <w:keepNext w:val="0"/>
        <w:keepLines/>
        <w:widowControl/>
        <w:spacing w:before="0" w:after="110" w:lineRule="auto" w:line="252"/>
      </w:pPr>
      <w:r>
        <w:rPr>
          <w:rFonts w:ascii="Arial" w:hAnsi="Arial"/>
          <w:b/>
          <w:i w:val="0"/>
          <w:color w:val="1F2937"/>
          <w:sz w:val="19"/>
        </w:rPr>
        <w:t xml:space="preserve">A.5.5  Temporary Facilities and Equipment.  </w:t>
      </w:r>
      <w:r>
        <w:rPr>
          <w:rFonts w:ascii="Arial" w:hAnsi="Arial"/>
          <w:b w:val="0"/>
          <w:i w:val="0"/>
          <w:color w:val="111111"/>
          <w:sz w:val="19"/>
        </w:rPr>
        <w:t>Cost of the Work includes transportation, installation, maintenance, operation, rental, minor repair, dismantling, and removal of Project-specific temporary facilities, machinery, equipment, tools, safety systems, site offices, utilities, and communications. Charges for Design-Builder-owned equipment shall not exceed commercially reasonable rental value and any agreed rate schedule.</w:t>
      </w:r>
    </w:p>
    <w:p>
      <w:pPr>
        <w:keepNext w:val="0"/>
        <w:keepLines/>
        <w:widowControl/>
        <w:spacing w:before="0" w:after="110" w:lineRule="auto" w:line="252"/>
      </w:pPr>
      <w:r>
        <w:rPr>
          <w:rFonts w:ascii="Arial" w:hAnsi="Arial"/>
          <w:b/>
          <w:i w:val="0"/>
          <w:color w:val="1F2937"/>
          <w:sz w:val="19"/>
        </w:rPr>
        <w:t xml:space="preserve">A.5.6  Project Administration and Closeout.  </w:t>
      </w:r>
      <w:r>
        <w:rPr>
          <w:rFonts w:ascii="Arial" w:hAnsi="Arial"/>
          <w:b w:val="0"/>
          <w:i w:val="0"/>
          <w:color w:val="111111"/>
          <w:sz w:val="19"/>
        </w:rPr>
        <w:t>Cost of the Work includes Project-specific document reproduction, electronic project systems, postage, delivery, photographs, cleanup, debris disposal, security, winter conditions, temporary protection, commissioning support, closeout materials, and other field administration identified in the schedule of values.</w:t>
      </w:r>
    </w:p>
    <w:p>
      <w:pPr>
        <w:keepNext w:val="0"/>
        <w:keepLines/>
        <w:widowControl/>
        <w:spacing w:before="0" w:after="110" w:lineRule="auto" w:line="252"/>
      </w:pPr>
      <w:r>
        <w:rPr>
          <w:rFonts w:ascii="Arial" w:hAnsi="Arial"/>
          <w:b/>
          <w:i w:val="0"/>
          <w:color w:val="1F2937"/>
          <w:sz w:val="19"/>
        </w:rPr>
        <w:t xml:space="preserve">A.5.7  Insurance, Bonds, Taxes, Permits, and Testing.  </w:t>
      </w:r>
      <w:r>
        <w:rPr>
          <w:rFonts w:ascii="Arial" w:hAnsi="Arial"/>
          <w:b w:val="0"/>
          <w:i w:val="0"/>
          <w:color w:val="111111"/>
          <w:sz w:val="19"/>
        </w:rPr>
        <w:t>Cost of the Work includes Project-attributable insurance and bond premiums; sales, use, and similar taxes; permits, licenses, inspections, and utility charges assigned to Design-Builder; required laboratory testing and special inspections not caused by nonconforming Work; and royalties or license fees for required products and processes.</w:t>
      </w:r>
    </w:p>
    <w:p>
      <w:pPr>
        <w:keepNext w:val="0"/>
        <w:keepLines/>
        <w:widowControl/>
        <w:spacing w:before="0" w:after="110" w:lineRule="auto" w:line="252"/>
      </w:pPr>
      <w:r>
        <w:rPr>
          <w:rFonts w:ascii="Arial" w:hAnsi="Arial"/>
          <w:b/>
          <w:i w:val="0"/>
          <w:color w:val="1F2937"/>
          <w:sz w:val="19"/>
        </w:rPr>
        <w:t xml:space="preserve">A.5.8  Other Approved Costs and Emergencies.  </w:t>
      </w:r>
      <w:r>
        <w:rPr>
          <w:rFonts w:ascii="Arial" w:hAnsi="Arial"/>
          <w:b w:val="0"/>
          <w:i w:val="0"/>
          <w:color w:val="111111"/>
          <w:sz w:val="19"/>
        </w:rPr>
        <w:t>Cost of the Work includes other costs approved in advance in writing and reasonable cost incurred in an emergency to prevent threatened injury, damage, or loss. Cost of correcting damaged or nonconforming Work is included only to the extent the condition was not caused by Design-Builder's or a lower-tier party's negligence or breach and the cost is not recovered from insurance, surety, warranty, or another responsible party.</w:t>
      </w:r>
    </w:p>
    <w:p>
      <w:pPr>
        <w:keepNext w:val="0"/>
        <w:keepLines/>
        <w:widowControl/>
        <w:spacing w:before="0" w:after="110" w:lineRule="auto" w:line="252"/>
      </w:pPr>
      <w:r>
        <w:rPr>
          <w:rFonts w:ascii="Arial" w:hAnsi="Arial"/>
          <w:b/>
          <w:i w:val="0"/>
          <w:color w:val="1F2937"/>
          <w:sz w:val="19"/>
        </w:rPr>
        <w:t xml:space="preserve">A.5.9  Related-Party Transactions.  </w:t>
      </w:r>
      <w:r>
        <w:rPr>
          <w:rFonts w:ascii="Arial" w:hAnsi="Arial"/>
          <w:b w:val="0"/>
          <w:i w:val="0"/>
          <w:color w:val="111111"/>
          <w:sz w:val="19"/>
        </w:rPr>
        <w:t>Before incurring a reimbursable cost with an affiliate or other related party, Design-Builder shall disclose the relationship, scope, and anticipated price. The cost is reimbursable only if commercially reasonable and approved under the project-specific rule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RELATED-PARTY TRANSACTION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Related-party approval and pricing support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A.5.10  Costs Not Reimbursable.  </w:t>
      </w:r>
      <w:r>
        <w:rPr>
          <w:rFonts w:ascii="Arial" w:hAnsi="Arial"/>
          <w:b w:val="0"/>
          <w:i w:val="0"/>
          <w:color w:val="111111"/>
          <w:sz w:val="19"/>
        </w:rPr>
        <w:t>Cost of the Work excludes principal-office salaries and expenses not expressly included; general overhead compensated by the Fee; capital expenses and financing charges; fines caused by Design-Builder's violation; cost caused by Design-Builder's or a lower-tier party's negligence or material breach; cost recovered from insurance, surety, warranty, or a responsible third party; cost not described as reimbursable; and cost above the adjusted GMP that is not otherwise compensable.</w:t>
      </w:r>
    </w:p>
    <w:p>
      <w:pPr>
        <w:keepNext w:val="0"/>
        <w:keepLines/>
        <w:widowControl/>
        <w:spacing w:before="0" w:after="110" w:lineRule="auto" w:line="252"/>
      </w:pPr>
      <w:r>
        <w:rPr>
          <w:rFonts w:ascii="Arial" w:hAnsi="Arial"/>
          <w:b/>
          <w:i w:val="0"/>
          <w:color w:val="1F2937"/>
          <w:sz w:val="19"/>
        </w:rPr>
        <w:t xml:space="preserve">A.5.11  Discounts, Rebates, Refunds, and Surplus.  </w:t>
      </w:r>
      <w:r>
        <w:rPr>
          <w:rFonts w:ascii="Arial" w:hAnsi="Arial"/>
          <w:b w:val="0"/>
          <w:i w:val="0"/>
          <w:color w:val="111111"/>
          <w:sz w:val="19"/>
        </w:rPr>
        <w:t>Trade discounts, rebates, refunds, insurance proceeds, and net proceeds from sale of surplus materials attributable to costs paid by Owner shall be credited to the Cost of the Work. Cash discounts accrue to the party whose funds enabled the discount.</w:t>
      </w:r>
    </w:p>
    <w:p>
      <w:pPr>
        <w:keepNext w:val="0"/>
        <w:keepLines/>
        <w:widowControl/>
        <w:spacing w:before="0" w:after="110" w:lineRule="auto" w:line="252"/>
      </w:pPr>
      <w:r>
        <w:rPr>
          <w:rFonts w:ascii="Arial" w:hAnsi="Arial"/>
          <w:b/>
          <w:i w:val="0"/>
          <w:color w:val="1F2937"/>
          <w:sz w:val="19"/>
        </w:rPr>
        <w:t xml:space="preserve">A.5.12  Procurement and Owner-Directed Awards.  </w:t>
      </w:r>
      <w:r>
        <w:rPr>
          <w:rFonts w:ascii="Arial" w:hAnsi="Arial"/>
          <w:b w:val="0"/>
          <w:i w:val="0"/>
          <w:color w:val="111111"/>
          <w:sz w:val="19"/>
        </w:rPr>
        <w:t>Design-Builder shall procure qualified Design Professionals, consultants, subcontractors, and suppliers on commercially reasonable terms. If Owner directs use of another bidder instead of Design-Builder's recommended qualified conforming bidder, the GMP and Contract Time shall be adjusted for the resulting difference.</w:t>
      </w:r>
    </w:p>
    <w:p>
      <w:pPr>
        <w:keepNext w:val="0"/>
        <w:keepLines/>
        <w:widowControl/>
        <w:spacing w:before="0" w:after="110" w:lineRule="auto" w:line="252"/>
      </w:pPr>
      <w:r>
        <w:rPr>
          <w:rFonts w:ascii="Arial" w:hAnsi="Arial"/>
          <w:b/>
          <w:i w:val="0"/>
          <w:color w:val="1F2937"/>
          <w:sz w:val="19"/>
        </w:rPr>
        <w:t xml:space="preserve">A.5.13  Accounting Records and Audit.  </w:t>
      </w:r>
      <w:r>
        <w:rPr>
          <w:rFonts w:ascii="Arial" w:hAnsi="Arial"/>
          <w:b w:val="0"/>
          <w:i w:val="0"/>
          <w:color w:val="111111"/>
          <w:sz w:val="19"/>
        </w:rPr>
        <w:t>Design-Builder shall maintain detailed records sufficient to substantiate Cost of the Work and shall preserve them for the period stated below. Owner and its auditor may review relevant records during regular business hours on reasonable notice. Review is limited to this Project and is subject to privilege, cybersecurity, confidentiality, and protection of unrelated business information.</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ACCOUNTING AND AUDIT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Record-retention period and audit notice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Confidentiality requirements and final reconciliation deadline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A.5.14  Buyout, Contingency, and Savings.  </w:t>
      </w:r>
      <w:r>
        <w:rPr>
          <w:rFonts w:ascii="Arial" w:hAnsi="Arial"/>
          <w:b w:val="0"/>
          <w:i w:val="0"/>
          <w:color w:val="111111"/>
          <w:sz w:val="19"/>
        </w:rPr>
        <w:t>Trade buyout variance, unused allowances, unused contingency, and final GMP savings shall be reconciled according to the rules below after included costs, claims, closeout obligations, and authorized contingency uses are resolved.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RECONCILIATION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Trade buyout variance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Unused contingencies and allowances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GMP savings split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Savings calculation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A.5.15  Relationship of the Parties.  </w:t>
      </w:r>
      <w:r>
        <w:rPr>
          <w:rFonts w:ascii="Arial" w:hAnsi="Arial"/>
          <w:b w:val="0"/>
          <w:i w:val="0"/>
          <w:color w:val="111111"/>
          <w:sz w:val="19"/>
        </w:rPr>
        <w:t>Design-Builder accepts a relationship of trust and confidence and shall exercise skill and judgment in furthering Owner's interests, furnish efficient design and construction administration, maintain adequate labor and materials, and perform the Work in an expeditious and economical manner consistent with the Contract Documents.</w:t>
      </w:r>
    </w:p>
    <w:p>
      <w:r>
        <w:br w:type="page"/>
      </w:r>
    </w:p>
    <w:p>
      <w:pPr>
        <w:pStyle w:val="Heading1"/>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Document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Exhibit A as an Amendment to the Agreement and approve the GMP and other terms stated above as of the Exhibit A effective date on the first page.</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MC-OWN-DBGMP-001-A REV. 2.1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MC-OWN-DBGMP-001-A REV.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EXHIBIT A - DESIGN-BUILD GMP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Design-Build GMP Exhibit A</dc:title>
  <dc:subject>GMP amendment approving the final project budget, cost breakdown, schedule, and commercial terms</dc:subject>
  <dc:creator>Mefford Contracting, LLC</dc:creator>
  <cp:keywords>Design-Build, Guaranteed Maximum Price, GMP, owner contract</cp:keywords>
  <dc:description>generated by python-docx</dc:description>
  <cp:lastModifiedBy/>
  <cp:revision>1</cp:revision>
  <dcterms:created xsi:type="dcterms:W3CDTF">2013-12-23T23:15:00Z</dcterms:created>
  <dcterms:modified xsi:type="dcterms:W3CDTF">2013-12-23T23:15:00Z</dcterms:modified>
  <cp:category/>
</cp:coreProperties>
</file>