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0" w:after="200" w:lineRule="auto" w:line="240"/>
        <w:jc w:val="center"/>
      </w:pPr>
      <w:r>
        <w:drawing>
          <wp:inline xmlns:a="http://schemas.openxmlformats.org/drawingml/2006/main" xmlns:pic="http://schemas.openxmlformats.org/drawingml/2006/picture">
            <wp:extent cx="1078992" cy="1119966"/>
            <wp:docPr id="1" name="Picture 1" descr="Current Mefford Contracting red-and-gray logo" title="Mefford Contracting red-and-gray logo"/>
            <wp:cNvGraphicFramePr>
              <a:graphicFrameLocks noChangeAspect="1"/>
            </wp:cNvGraphicFramePr>
            <a:graphic>
              <a:graphicData uri="http://schemas.openxmlformats.org/drawingml/2006/picture">
                <pic:pic>
                  <pic:nvPicPr>
                    <pic:cNvPr id="0" name="Mefford_logo_vertical.png"/>
                    <pic:cNvPicPr/>
                  </pic:nvPicPr>
                  <pic:blipFill>
                    <a:blip r:embed="rId12"/>
                    <a:stretch>
                      <a:fillRect/>
                    </a:stretch>
                  </pic:blipFill>
                  <pic:spPr>
                    <a:xfrm>
                      <a:off x="0" y="0"/>
                      <a:ext cx="1078992" cy="1119966"/>
                    </a:xfrm>
                    <a:prstGeom prst="rect"/>
                  </pic:spPr>
                </pic:pic>
              </a:graphicData>
            </a:graphic>
          </wp:inline>
        </w:drawing>
      </w:r>
    </w:p>
    <w:p>
      <w:pPr>
        <w:jc w:val="center"/>
      </w:pPr>
      <w:r>
        <w:rPr>
          <w:rFonts w:ascii="Arial" w:hAnsi="Arial"/>
          <w:b/>
          <w:i w:val="0"/>
          <w:color w:val="1F2937"/>
          <w:sz w:val="50"/>
        </w:rPr>
        <w:t>DESIGN-BUILD LUMP SUM AGREEMENT</w:t>
      </w:r>
    </w:p>
    <w:p>
      <w:pPr>
        <w:pStyle w:val="Subtitle"/>
        <w:jc w:val="center"/>
      </w:pPr>
      <w:r>
        <w:rPr>
          <w:rFonts w:ascii="Arial" w:hAnsi="Arial"/>
          <w:b w:val="0"/>
          <w:i w:val="0"/>
          <w:color w:val="58585A"/>
          <w:sz w:val="25"/>
        </w:rPr>
        <w:t>Single Authorization for Design and Construction</w:t>
      </w:r>
    </w:p>
    <w:p>
      <w:pPr>
        <w:keepNext w:val="0"/>
        <w:widowControl/>
        <w:spacing w:before="0" w:after="400" w:lineRule="auto" w:line="240"/>
        <w:jc w:val="center"/>
      </w:pPr>
      <w:r>
        <w:rPr>
          <w:rFonts w:ascii="Arial" w:hAnsi="Arial"/>
          <w:b/>
          <w:i w:val="0"/>
          <w:color w:val="922E26"/>
          <w:sz w:val="18"/>
        </w:rPr>
        <w:t>MC-OWN-DBLS-001  |  REV. 1.0</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AGREEMENT INFORMATION</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VALUE</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Agreement date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legal name and legal status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address, representative, and contact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Project name and address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Project description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Design-Builder</w:t>
            </w:r>
          </w:p>
        </w:tc>
        <w:tc>
          <w:tcPr>
            <w:tcW w:type="dxa" w:w="669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Mefford Contracting, LLC | 1585 Mercer Road, Suite 110, Lexington, Kentucky 40511</w:t>
            </w:r>
          </w:p>
        </w:tc>
      </w:tr>
    </w:tbl>
    <w:p>
      <w:pPr>
        <w:spacing w:after="40"/>
      </w:pP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OWNER'S COMPLETE AUTHORIZATION</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APPROVED AMOUNT / DATE</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Lump Sum Contract Sum</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$____________</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Design and preconstruction portion included in Contract Sum</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$____________</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Initial payment due upon execution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$____________</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Required Substantial Completion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r>
        <w:br w:type="page"/>
      </w:r>
    </w:p>
    <w:p>
      <w:pPr>
        <w:pStyle w:val="Heading1"/>
      </w:pPr>
      <w:r>
        <w:rPr>
          <w:rFonts w:ascii="Arial" w:hAnsi="Arial"/>
          <w:b/>
          <w:i w:val="0"/>
          <w:color w:val="922E26"/>
          <w:sz w:val="27"/>
        </w:rPr>
        <w:t>TABLE OF ARTICLES</w:t>
      </w:r>
    </w:p>
    <w:tbl>
      <w:tblPr>
        <w:tblW w:type="dxa" w:w="9360"/>
        <w:jc w:val="left"/>
        <w:tblLayout w:type="fixed"/>
        <w:tblLook w:firstColumn="1" w:firstRow="1" w:lastColumn="0" w:lastRow="0" w:noHBand="0" w:noVBand="1" w:val="04A0"/>
        <w:tblInd w:w="120" w:type="dxa"/>
      </w:tblPr>
      <w:tblGrid>
        <w:gridCol w:w="792"/>
        <w:gridCol w:w="8568"/>
      </w:tblGrid>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AGREEMENT AND GENERAL PROVISIONS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2</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CONTRACT SUM AND SCOPE OF THE WORK</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3</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CONTRACT TIME AND MILESTONES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4</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OWNER'S CRITERIA AND CONTRACT BASIS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5</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DESIGN-BUILDER'S RESPONSIBILITIES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6</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CONSTRUCTION REQUIREMENTS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7</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CHANGES IN THE WORK</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8</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OWNER'S RESPONSIBILITIES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9</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APPLICATIONS FOR PAYMENT AND PROJECT COMPLETION</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10</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PROTECTION, INSURANCE, BONDS, AND INDEMNITY</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11</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UNCOVERING, CORRECTION, AND WARRANTY</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12</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INSTRUMENTS OF SERVICE AND LICENSES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13</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SUSPENSION AND TERMINATION</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14</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CLAIMS AND DISPUTE RESOLUTION</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15</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MISCELLANEOUS PROVISIONS</w:t>
            </w:r>
          </w:p>
        </w:tc>
      </w:tr>
      <w:tr>
        <w:trPr>
          <w:trHeight w:hRule="atLeast"/>
          <w:cantSplit/>
        </w:trPr>
        <w:tc>
          <w:tcPr>
            <w:tcW w:type="dxa" w:w="792"/>
            <w:tcMar>
              <w:top w:w="80" w:type="dxa"/>
              <w:start w:w="120" w:type="dxa"/>
              <w:bottom w:w="80" w:type="dxa"/>
              <w:end w:w="120" w:type="dxa"/>
            </w:tcMar>
            <w:vAlign w:val="center"/>
            <w:tcBorders>
              <w:bottom w:val="single" w:sz="3" w:color="D1D5DB"/>
            </w:tcBorders>
          </w:tcPr>
          <w:p>
            <w:pPr>
              <w:spacing w:after="30"/>
            </w:pPr>
            <w:r>
              <w:rPr>
                <w:rFonts w:ascii="Arial" w:hAnsi="Arial"/>
                <w:b/>
                <w:i w:val="0"/>
                <w:color w:val="922E26"/>
                <w:sz w:val="18"/>
              </w:rPr>
              <w:t>16</w:t>
            </w:r>
          </w:p>
        </w:tc>
        <w:tc>
          <w:tcPr>
            <w:tcW w:type="dxa" w:w="8568"/>
            <w:tcMar>
              <w:top w:w="80" w:type="dxa"/>
              <w:start w:w="120" w:type="dxa"/>
              <w:bottom w:w="80" w:type="dxa"/>
              <w:end w:w="120" w:type="dxa"/>
            </w:tcMar>
            <w:vAlign w:val="center"/>
            <w:tcBorders>
              <w:bottom w:val="single" w:sz="3" w:color="D1D5DB"/>
            </w:tcBorders>
          </w:tcPr>
          <w:p>
            <w:pPr>
              <w:spacing w:after="30"/>
            </w:pPr>
            <w:r>
              <w:rPr>
                <w:rFonts w:ascii="Arial" w:hAnsi="Arial"/>
                <w:b/>
                <w:i w:val="0"/>
                <w:color w:val="1F2937"/>
                <w:sz w:val="18"/>
              </w:rPr>
              <w:t>CONTRACT DOCUMENTS AND EXECUTION</w:t>
            </w:r>
          </w:p>
        </w:tc>
      </w:tr>
    </w:tbl>
    <w:p>
      <w:pPr>
        <w:keepNext w:val="0"/>
        <w:widowControl/>
        <w:spacing w:before="0" w:after="140" w:lineRule="auto" w:line="254"/>
      </w:pPr>
      <w:r>
        <w:rPr>
          <w:rFonts w:ascii="Arial" w:hAnsi="Arial"/>
          <w:b w:val="0"/>
          <w:i w:val="0"/>
          <w:color w:val="111111"/>
          <w:sz w:val="19"/>
        </w:rPr>
        <w:t>By executing this Agreement, Owner accepts the Lump Sum Contract Sum, included design and construction scope, Contract Time, pricing basis, assumptions, clarifications, exclusions, allowances, contingencies, and other terms stated below. This Agreement authorizes Design-Builder to perform the complete Work; no later owner-contract amendment is required to authorize construction.</w:t>
      </w:r>
    </w:p>
    <w:p>
      <w:pPr>
        <w:pStyle w:val="Heading1"/>
        <w:keepNext/>
      </w:pPr>
      <w:r>
        <w:rPr>
          <w:rFonts w:ascii="Arial" w:hAnsi="Arial"/>
          <w:b/>
          <w:i w:val="0"/>
          <w:color w:val="922E26"/>
          <w:sz w:val="27"/>
        </w:rPr>
        <w:t>ARTICLE 1  |  AGREEMENT AND GENERAL PROVISIONS</w:t>
      </w:r>
    </w:p>
    <w:p>
      <w:pPr>
        <w:keepNext w:val="0"/>
        <w:keepLines/>
        <w:widowControl/>
        <w:spacing w:before="0" w:after="110" w:lineRule="auto" w:line="252"/>
      </w:pPr>
      <w:r>
        <w:rPr>
          <w:rFonts w:ascii="Arial" w:hAnsi="Arial"/>
          <w:b/>
          <w:i w:val="0"/>
          <w:color w:val="1F2937"/>
          <w:sz w:val="19"/>
        </w:rPr>
        <w:t xml:space="preserve">1.1  Integrated Design-Build Authorization.  </w:t>
      </w:r>
      <w:r>
        <w:rPr>
          <w:rFonts w:ascii="Arial" w:hAnsi="Arial"/>
          <w:b w:val="0"/>
          <w:i w:val="0"/>
          <w:color w:val="111111"/>
          <w:sz w:val="19"/>
        </w:rPr>
        <w:t>Owner engages Design-Builder to provide the design, preconstruction, procurement, construction, commissioning, and closeout services included in the Contract Documents. Design and construction are authorized by this Agreement as one integrated undertaking. Construction may begin after the stated commencement conditions are satisfied without another agreement between Owner and Design-Builder.</w:t>
      </w:r>
    </w:p>
    <w:p>
      <w:pPr>
        <w:keepNext w:val="0"/>
        <w:keepLines/>
        <w:widowControl/>
        <w:spacing w:before="0" w:after="110" w:lineRule="auto" w:line="252"/>
      </w:pPr>
      <w:r>
        <w:rPr>
          <w:rFonts w:ascii="Arial" w:hAnsi="Arial"/>
          <w:b/>
          <w:i w:val="0"/>
          <w:color w:val="1F2937"/>
          <w:sz w:val="19"/>
        </w:rPr>
        <w:t xml:space="preserve">1.2  Contract Documents.  </w:t>
      </w:r>
      <w:r>
        <w:rPr>
          <w:rFonts w:ascii="Arial" w:hAnsi="Arial"/>
          <w:b w:val="0"/>
          <w:i w:val="0"/>
          <w:color w:val="111111"/>
          <w:sz w:val="19"/>
        </w:rPr>
        <w:t>The Contract Documents consist of this Agreement, the specifically listed Owner's Criteria and basis documents, listed attachments, approved Change Orders, written directives issued under Article 7, and other documents expressly incorporated by a writing signed by both parties. They form the entire agreement and supersede prior negotiations and representations concerning the same Work.</w:t>
      </w:r>
    </w:p>
    <w:p>
      <w:pPr>
        <w:keepNext w:val="0"/>
        <w:keepLines/>
        <w:widowControl/>
        <w:spacing w:before="0" w:after="110" w:lineRule="auto" w:line="252"/>
      </w:pPr>
      <w:r>
        <w:rPr>
          <w:rFonts w:ascii="Arial" w:hAnsi="Arial"/>
          <w:b/>
          <w:i w:val="0"/>
          <w:color w:val="1F2937"/>
          <w:sz w:val="19"/>
        </w:rPr>
        <w:t xml:space="preserve">1.3  Definitions.  </w:t>
      </w:r>
      <w:r>
        <w:rPr>
          <w:rFonts w:ascii="Arial" w:hAnsi="Arial"/>
          <w:b w:val="0"/>
          <w:i w:val="0"/>
          <w:color w:val="111111"/>
          <w:sz w:val="19"/>
        </w:rPr>
        <w:t>Work means the included design, preconstruction, procurement, construction, commissioning, and closeout services. Project means the total undertaking of which the Work may be all or a part. Contract Sum means the fixed lump sum stated in Article 2, as adjusted only by an authorized Modification. Owner's Criteria means Owner's program, performance, quality, site, schedule, operational, and other requirements stated or incorporated in Article 4. Design Professional means a properly licensed architect, engineer, or other professional. Instruments of Service means drawings, models, specifications, studies, calculations, and similar professional work product. Day means calendar day unless expressly stated otherwise.</w:t>
      </w:r>
    </w:p>
    <w:p>
      <w:pPr>
        <w:keepNext w:val="0"/>
        <w:keepLines/>
        <w:widowControl/>
        <w:spacing w:before="0" w:after="110" w:lineRule="auto" w:line="252"/>
      </w:pPr>
      <w:r>
        <w:rPr>
          <w:rFonts w:ascii="Arial" w:hAnsi="Arial"/>
          <w:b/>
          <w:i w:val="0"/>
          <w:color w:val="1F2937"/>
          <w:sz w:val="19"/>
        </w:rPr>
        <w:t xml:space="preserve">1.4  Project Team.  </w:t>
      </w:r>
      <w:r>
        <w:rPr>
          <w:rFonts w:ascii="Arial" w:hAnsi="Arial"/>
          <w:b w:val="0"/>
          <w:i w:val="0"/>
          <w:color w:val="111111"/>
          <w:sz w:val="19"/>
        </w:rPr>
        <w:t>Each party shall act through its authorized representative. A representative may bind the appointing party only within the authority stated in this Agreement or separately confirmed in writing. A representative shall not be changed without reasonable written notice.</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PROJECT TEAM</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NAME / CONTACT / ROLE</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representative and contact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Other Owner reviewers, consultants, or contractors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Design-Builder representative and contact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Lead Design Professional and contact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1.5  Binding Dispute Resolution.  </w:t>
      </w:r>
      <w:r>
        <w:rPr>
          <w:rFonts w:ascii="Arial" w:hAnsi="Arial"/>
          <w:b w:val="0"/>
          <w:i w:val="0"/>
          <w:color w:val="111111"/>
          <w:sz w:val="19"/>
        </w:rPr>
        <w:t>Claims not resolved by executive negotiation and mediation shall be resolved by the method selected below. If neither method is selected, litigation in a court of competent jurisdiction shall apply.</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DISPUTE ELECTION</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Binding method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Mediation provider, venue, or arbitration rules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1.6  No Third-Party Beneficiary.  </w:t>
      </w:r>
      <w:r>
        <w:rPr>
          <w:rFonts w:ascii="Arial" w:hAnsi="Arial"/>
          <w:b w:val="0"/>
          <w:i w:val="0"/>
          <w:color w:val="111111"/>
          <w:sz w:val="19"/>
        </w:rPr>
        <w:t>The Contract creates rights only between Owner and Design-Builder. Design Professionals, subcontractors, suppliers, lenders, tenants, and separate contractors are not third-party beneficiaries unless a signed provision expressly states otherwise.</w:t>
      </w:r>
    </w:p>
    <w:p>
      <w:pPr>
        <w:pStyle w:val="Heading1"/>
        <w:keepNext/>
      </w:pPr>
      <w:r>
        <w:rPr>
          <w:rFonts w:ascii="Arial" w:hAnsi="Arial"/>
          <w:b/>
          <w:i w:val="0"/>
          <w:color w:val="922E26"/>
          <w:sz w:val="27"/>
        </w:rPr>
        <w:t>ARTICLE 2  |  CONTRACT SUM AND SCOPE OF THE WORK</w:t>
      </w:r>
    </w:p>
    <w:p>
      <w:pPr>
        <w:keepNext w:val="0"/>
        <w:keepLines/>
        <w:widowControl/>
        <w:spacing w:before="0" w:after="110" w:lineRule="auto" w:line="252"/>
      </w:pPr>
      <w:r>
        <w:rPr>
          <w:rFonts w:ascii="Arial" w:hAnsi="Arial"/>
          <w:b/>
          <w:i w:val="0"/>
          <w:color w:val="1F2937"/>
          <w:sz w:val="19"/>
        </w:rPr>
        <w:t xml:space="preserve">2.1  Lump Sum Contract Sum.  </w:t>
      </w:r>
      <w:r>
        <w:rPr>
          <w:rFonts w:ascii="Arial" w:hAnsi="Arial"/>
          <w:b w:val="0"/>
          <w:i w:val="0"/>
          <w:color w:val="111111"/>
          <w:sz w:val="19"/>
        </w:rPr>
        <w:t>Owner shall pay Design-Builder the Contract Sum stated below in current funds for complete performance of the Work. The Contract Sum includes design and professional services, preconstruction, labor, materials, equipment, supervision, general conditions, overhead and profit, and the other components identified in the Contract Documents. It may be adjusted only by a Modification authorized under Article 7.</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LUMP SUM AUTHORIZATION</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APPROVED AMOUNT / BASIS</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Lump Sum Contract Sum in figures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$____________</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Lump Sum Contract Sum in words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Design and preconstruction portion included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$____________</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Initial payment due upon execution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t>$____________</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Pricing date and price-validity period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2.2  Included Design and Preconstruction Scope.  </w:t>
      </w:r>
      <w:r>
        <w:rPr>
          <w:rFonts w:ascii="Arial" w:hAnsi="Arial"/>
          <w:b w:val="0"/>
          <w:i w:val="0"/>
          <w:color w:val="111111"/>
          <w:sz w:val="19"/>
        </w:rPr>
        <w:t>Design-Builder shall provide the design and preconstruction services identified below to the level required for permitting, pricing, procurement, construction, commissioning, and closeout of the included Work. The responsible firm and specific deliverable may be stated in the response column.</w:t>
      </w:r>
    </w:p>
    <w:tbl>
      <w:tblPr>
        <w:tblW w:type="dxa" w:w="9360"/>
        <w:jc w:val="left"/>
        <w:tblLayout w:type="fixed"/>
        <w:tblLook w:firstColumn="1" w:firstRow="1" w:lastColumn="0" w:lastRow="0" w:noHBand="0" w:noVBand="1" w:val="04A0"/>
        <w:tblInd w:w="120" w:type="dxa"/>
      </w:tblPr>
      <w:tblGrid>
        <w:gridCol w:w="3672"/>
        <w:gridCol w:w="5688"/>
      </w:tblGrid>
      <w:tr>
        <w:trPr>
          <w:trHeight w:hRule="atLeast"/>
          <w:tblHeader w:val="true"/>
        </w:trPr>
        <w:tc>
          <w:tcPr>
            <w:tcW w:type="dxa" w:w="367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Design / preconstruction service</w:t>
            </w:r>
          </w:p>
        </w:tc>
        <w:tc>
          <w:tcPr>
            <w:tcW w:type="dxa" w:w="568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Included scope, responsible firm, and deliverable</w:t>
            </w:r>
          </w:p>
        </w:tc>
      </w:tr>
      <w:tr>
        <w:trPr>
          <w:cantSplit/>
          <w:trHeight w:hRule="atLeast"/>
        </w:trPr>
        <w:tc>
          <w:tcPr>
            <w:tcW w:type="dxa" w:w="367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Program, site, code, and permitting review</w:t>
            </w:r>
          </w:p>
        </w:tc>
        <w:tc>
          <w:tcPr>
            <w:tcW w:type="dxa" w:w="56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67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Architectural design</w:t>
            </w:r>
          </w:p>
        </w:tc>
        <w:tc>
          <w:tcPr>
            <w:tcW w:type="dxa" w:w="56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67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Civil and structural design</w:t>
            </w:r>
          </w:p>
        </w:tc>
        <w:tc>
          <w:tcPr>
            <w:tcW w:type="dxa" w:w="56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67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Mechanical, electrical, plumbing, and fire-protection design</w:t>
            </w:r>
          </w:p>
        </w:tc>
        <w:tc>
          <w:tcPr>
            <w:tcW w:type="dxa" w:w="56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67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Concept, schematic, and design development</w:t>
            </w:r>
          </w:p>
        </w:tc>
        <w:tc>
          <w:tcPr>
            <w:tcW w:type="dxa" w:w="56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67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Permit and Construction Documents</w:t>
            </w:r>
          </w:p>
        </w:tc>
        <w:tc>
          <w:tcPr>
            <w:tcW w:type="dxa" w:w="56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67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Estimating, constructability, and value analysis</w:t>
            </w:r>
          </w:p>
        </w:tc>
        <w:tc>
          <w:tcPr>
            <w:tcW w:type="dxa" w:w="56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67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Scheduling, trade outreach, and procurement planning</w:t>
            </w:r>
          </w:p>
        </w:tc>
        <w:tc>
          <w:tcPr>
            <w:tcW w:type="dxa" w:w="56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67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Construction administration and record deliverables</w:t>
            </w:r>
          </w:p>
        </w:tc>
        <w:tc>
          <w:tcPr>
            <w:tcW w:type="dxa" w:w="56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2.3  Included Construction Scope.  </w:t>
      </w:r>
      <w:r>
        <w:rPr>
          <w:rFonts w:ascii="Arial" w:hAnsi="Arial"/>
          <w:b w:val="0"/>
          <w:i w:val="0"/>
          <w:color w:val="111111"/>
          <w:sz w:val="19"/>
        </w:rPr>
        <w:t>Design-Builder shall furnish the construction, temporary facilities, supervision, coordination, testing support, commissioning support, training, and closeout expressly included below and in the listed Contract Documents. An item reasonably inferable as necessary to complete expressly included Work is included, but an unlisted expansion of program, capacity, quality, quantity, performance, or site limits is not included merely because it would benefit the Project.</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CONSTRUCTION SCOPE</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INCLUDED WORK / RESPONSIBILITY</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Construction scope summary</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Owner-furnished or Owner-performed work</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Closeout, training, and warranty deliverables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2.4  Itemized Statement of the Contract Sum.  </w:t>
      </w:r>
      <w:r>
        <w:rPr>
          <w:rFonts w:ascii="Arial" w:hAnsi="Arial"/>
          <w:b w:val="0"/>
          <w:i w:val="0"/>
          <w:color w:val="111111"/>
          <w:sz w:val="19"/>
        </w:rPr>
        <w:t>The following schedule organizes the Contract Sum by major category. The total must equal the Lump Sum Contract Sum stated above. The allocation is the initial schedule-of-values basis and does not convert the Contract to cost reimbursement or change the included scope.</w:t>
      </w:r>
    </w:p>
    <w:tbl>
      <w:tblPr>
        <w:tblW w:type="dxa" w:w="9360"/>
        <w:jc w:val="left"/>
        <w:tblLayout w:type="fixed"/>
        <w:tblLook w:firstColumn="1" w:firstRow="1" w:lastColumn="0" w:lastRow="0" w:noHBand="0" w:noVBand="1" w:val="04A0"/>
        <w:tblInd w:w="120" w:type="dxa"/>
      </w:tblPr>
      <w:tblGrid>
        <w:gridCol w:w="4536"/>
        <w:gridCol w:w="1656"/>
        <w:gridCol w:w="3168"/>
      </w:tblGrid>
      <w:tr>
        <w:trPr>
          <w:trHeight w:hRule="atLeast"/>
          <w:tblHeader w:val="true"/>
        </w:trPr>
        <w:tc>
          <w:tcPr>
            <w:tcW w:type="dxa" w:w="453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Category</w:t>
            </w:r>
          </w:p>
        </w:tc>
        <w:tc>
          <w:tcPr>
            <w:tcW w:type="dxa" w:w="165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Amount</w:t>
            </w:r>
          </w:p>
        </w:tc>
        <w:tc>
          <w:tcPr>
            <w:tcW w:type="dxa" w:w="316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Included scope / notes</w:t>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Design and professional services</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Preconstruction and estimating</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Permits, agency fees, testing, and commissioning</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General conditions and temporary facilities</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Insurance and bonds</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Design-Builder overhead and profit</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Sitework, earthwork, and utilities</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Concrete and masonry</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Structural steel and miscellaneous metals</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Carpentry, framing, and composites</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Building envelope, insulation, and roofing</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Doors, frames, windows, and glazing</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Interior finishes</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Specialties, equipment, and furnishings</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Fire suppression and plumbing</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HVAC and controls</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Electrical, communications, and security</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Conveying and special construction</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Allowances</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Contingency</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Accepted alternates</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Other</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453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TOTAL LUMP SUM CONTRACT SUM</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$____________</w:t>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2.5  Alternates.  </w:t>
      </w:r>
      <w:r>
        <w:rPr>
          <w:rFonts w:ascii="Arial" w:hAnsi="Arial"/>
          <w:b w:val="0"/>
          <w:i w:val="0"/>
          <w:color w:val="111111"/>
          <w:sz w:val="19"/>
        </w:rPr>
        <w:t>The Contract Sum includes only alternates shown as accepted below. An unaccepted alternate may be accepted only by a signed Change Order before its stated deadline.</w:t>
      </w:r>
    </w:p>
    <w:tbl>
      <w:tblPr>
        <w:tblW w:type="dxa" w:w="9360"/>
        <w:jc w:val="left"/>
        <w:tblLayout w:type="fixed"/>
        <w:tblLook w:firstColumn="1" w:firstRow="1" w:lastColumn="0" w:lastRow="0" w:noHBand="0" w:noVBand="1" w:val="04A0"/>
        <w:tblInd w:w="120" w:type="dxa"/>
      </w:tblPr>
      <w:tblGrid>
        <w:gridCol w:w="1152"/>
        <w:gridCol w:w="4896"/>
        <w:gridCol w:w="1440"/>
        <w:gridCol w:w="1872"/>
      </w:tblGrid>
      <w:tr>
        <w:trPr>
          <w:trHeight w:hRule="atLeast"/>
          <w:tblHeader w:val="true"/>
        </w:trPr>
        <w:tc>
          <w:tcPr>
            <w:tcW w:type="dxa" w:w="115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Alternate</w:t>
            </w:r>
          </w:p>
        </w:tc>
        <w:tc>
          <w:tcPr>
            <w:tcW w:type="dxa" w:w="48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Description</w:t>
            </w:r>
          </w:p>
        </w:tc>
        <w:tc>
          <w:tcPr>
            <w:tcW w:type="dxa" w:w="144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Add / deduct</w:t>
            </w:r>
          </w:p>
        </w:tc>
        <w:tc>
          <w:tcPr>
            <w:tcW w:type="dxa" w:w="187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Acceptance deadline / status</w:t>
            </w:r>
          </w:p>
        </w:tc>
      </w:tr>
      <w:tr>
        <w:trPr>
          <w:cantSplit/>
          <w:trHeight w:hRule="atLeast"/>
        </w:trPr>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8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7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8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7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8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7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8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7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2.6  Unit Prices.  </w:t>
      </w:r>
      <w:r>
        <w:rPr>
          <w:rFonts w:ascii="Arial" w:hAnsi="Arial"/>
          <w:b w:val="0"/>
          <w:i w:val="0"/>
          <w:color w:val="111111"/>
          <w:sz w:val="19"/>
        </w:rPr>
        <w:t>The following unit prices apply only within the stated quantity and measurement limitations. Final quantity shall be supported by agreed measurement records and incorporated by Change Order.</w:t>
      </w:r>
    </w:p>
    <w:tbl>
      <w:tblPr>
        <w:tblW w:type="dxa" w:w="9360"/>
        <w:jc w:val="left"/>
        <w:tblLayout w:type="fixed"/>
        <w:tblLook w:firstColumn="1" w:firstRow="1" w:lastColumn="0" w:lastRow="0" w:noHBand="0" w:noVBand="1" w:val="04A0"/>
        <w:tblInd w:w="120" w:type="dxa"/>
      </w:tblPr>
      <w:tblGrid>
        <w:gridCol w:w="2520"/>
        <w:gridCol w:w="1152"/>
        <w:gridCol w:w="1512"/>
        <w:gridCol w:w="4176"/>
      </w:tblGrid>
      <w:tr>
        <w:trPr>
          <w:trHeight w:hRule="atLeast"/>
          <w:tblHeader w:val="true"/>
        </w:trPr>
        <w:tc>
          <w:tcPr>
            <w:tcW w:type="dxa" w:w="252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Item</w:t>
            </w:r>
          </w:p>
        </w:tc>
        <w:tc>
          <w:tcPr>
            <w:tcW w:type="dxa" w:w="115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Unit</w:t>
            </w:r>
          </w:p>
        </w:tc>
        <w:tc>
          <w:tcPr>
            <w:tcW w:type="dxa" w:w="151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Unit price</w:t>
            </w:r>
          </w:p>
        </w:tc>
        <w:tc>
          <w:tcPr>
            <w:tcW w:type="dxa" w:w="417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Quantity / measurement limitation</w:t>
            </w:r>
          </w:p>
        </w:tc>
      </w:tr>
      <w:tr>
        <w:trPr>
          <w:cantSplit/>
          <w:trHeight w:hRule="atLeast"/>
        </w:trPr>
        <w:tc>
          <w:tcPr>
            <w:tcW w:type="dxa" w:w="252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17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52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17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52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17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52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1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1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417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2.7  Allowances and Contingency.  </w:t>
      </w:r>
      <w:r>
        <w:rPr>
          <w:rFonts w:ascii="Arial" w:hAnsi="Arial"/>
          <w:b w:val="0"/>
          <w:i w:val="0"/>
          <w:color w:val="111111"/>
          <w:sz w:val="19"/>
        </w:rPr>
        <w:t>Each allowance and contingency is limited to its stated purpose and cost components. Owner allowances are adjusted by the difference between the allowance and authorized actual cost, together with only the stated markup. Unless expressly identified as an Owner-controlled amount, contingency included in the fixed Contract Sum is controlled by Design-Builder for risks within its stated purpose and any unused balance is retained by Design-Builder. Neither an allowance nor contingency expands scope without a Change Order.</w:t>
      </w:r>
    </w:p>
    <w:tbl>
      <w:tblPr>
        <w:tblW w:type="dxa" w:w="9360"/>
        <w:jc w:val="left"/>
        <w:tblLayout w:type="fixed"/>
        <w:tblLook w:firstColumn="1" w:firstRow="1" w:lastColumn="0" w:lastRow="0" w:noHBand="0" w:noVBand="1" w:val="04A0"/>
        <w:tblInd w:w="120" w:type="dxa"/>
      </w:tblPr>
      <w:tblGrid>
        <w:gridCol w:w="2448"/>
        <w:gridCol w:w="1440"/>
        <w:gridCol w:w="2880"/>
        <w:gridCol w:w="2592"/>
      </w:tblGrid>
      <w:tr>
        <w:trPr>
          <w:trHeight w:hRule="atLeast"/>
          <w:tblHeader w:val="true"/>
        </w:trPr>
        <w:tc>
          <w:tcPr>
            <w:tcW w:type="dxa" w:w="244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Allowance / contingency</w:t>
            </w:r>
          </w:p>
        </w:tc>
        <w:tc>
          <w:tcPr>
            <w:tcW w:type="dxa" w:w="144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Amount</w:t>
            </w:r>
          </w:p>
        </w:tc>
        <w:tc>
          <w:tcPr>
            <w:tcW w:type="dxa" w:w="288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Included components</w:t>
            </w:r>
          </w:p>
        </w:tc>
        <w:tc>
          <w:tcPr>
            <w:tcW w:type="dxa" w:w="259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Selection / use / reconciliation rule</w:t>
            </w:r>
          </w:p>
        </w:tc>
      </w:tr>
      <w:tr>
        <w:trPr>
          <w:cantSplit/>
          <w:trHeight w:hRule="atLeast"/>
        </w:trPr>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2.8  Pricing Basis, Assumptions, and Exclusions.  </w:t>
      </w:r>
      <w:r>
        <w:rPr>
          <w:rFonts w:ascii="Arial" w:hAnsi="Arial"/>
          <w:b w:val="0"/>
          <w:i w:val="0"/>
          <w:color w:val="111111"/>
          <w:sz w:val="19"/>
        </w:rPr>
        <w:t>The Contract Sum and Contract Time are based on the following assumptions, clarifications, exclusions, pricing conditions, escalation terms, and identified risks. These entries and the basis documents in Article 4 define the priced scope.</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PRICING BASIS</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Assumptions and clarifications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Exclusions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Pricing date, escalation, tariffs, and volatility</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Unpriced or deferred scope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Special tax, permit, utility, or financing assumptions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2.9  Lump Sum Risk and Savings.  </w:t>
      </w:r>
      <w:r>
        <w:rPr>
          <w:rFonts w:ascii="Arial" w:hAnsi="Arial"/>
          <w:b w:val="0"/>
          <w:i w:val="0"/>
          <w:color w:val="111111"/>
          <w:sz w:val="19"/>
        </w:rPr>
        <w:t>Design-Builder bears the risk that its actual cost of performing the unchanged included Work exceeds the adjusted Contract Sum and retains savings achieved in performing that Work, except for Owner allowances, Owner-controlled contingency, accepted credits, or another reconciliation expressly stated in the Contract Documents. Owner has no general right to audit Design-Builder's actual cost or lower-tier pricing, except for time-and-material Changes, allowance reconciliation, or other amounts expressly based on actual cost.</w:t>
      </w:r>
    </w:p>
    <w:p>
      <w:pPr>
        <w:pStyle w:val="Heading1"/>
        <w:keepNext/>
      </w:pPr>
      <w:r>
        <w:rPr>
          <w:rFonts w:ascii="Arial" w:hAnsi="Arial"/>
          <w:b/>
          <w:i w:val="0"/>
          <w:color w:val="922E26"/>
          <w:sz w:val="27"/>
        </w:rPr>
        <w:t>ARTICLE 3  |  CONTRACT TIME AND MILESTONES</w:t>
      </w:r>
    </w:p>
    <w:p>
      <w:pPr>
        <w:keepNext w:val="0"/>
        <w:keepLines/>
        <w:widowControl/>
        <w:spacing w:before="0" w:after="110" w:lineRule="auto" w:line="252"/>
      </w:pPr>
      <w:r>
        <w:rPr>
          <w:rFonts w:ascii="Arial" w:hAnsi="Arial"/>
          <w:b/>
          <w:i w:val="0"/>
          <w:color w:val="1F2937"/>
          <w:sz w:val="19"/>
        </w:rPr>
        <w:t xml:space="preserve">3.1  Contract Time.  </w:t>
      </w:r>
      <w:r>
        <w:rPr>
          <w:rFonts w:ascii="Arial" w:hAnsi="Arial"/>
          <w:b w:val="0"/>
          <w:i w:val="0"/>
          <w:color w:val="111111"/>
          <w:sz w:val="19"/>
        </w:rPr>
        <w:t>Contract Time is the period, including authorized adjustments, for Design-Builder to perform design, procurement, construction, and closeout and to achieve Substantial Completion and Final Completion. Time limits expressly identified as contractual are material.</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CONTRACT TIME</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APPROVED DATE / PERIOD</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Conditions before construction commencement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Design commencement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Construction commencement / Notice to Proceed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Substantial Completion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Final Completion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occupancy or phased completion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3.2  Milestones.  </w:t>
      </w:r>
      <w:r>
        <w:rPr>
          <w:rFonts w:ascii="Arial" w:hAnsi="Arial"/>
          <w:b w:val="0"/>
          <w:i w:val="0"/>
          <w:color w:val="111111"/>
          <w:sz w:val="19"/>
        </w:rPr>
        <w:t>The following milestones are binding only to the extent identified as contractual. Other schedule activities are planning dates subject to normal update.</w:t>
      </w:r>
    </w:p>
    <w:tbl>
      <w:tblPr>
        <w:tblW w:type="dxa" w:w="9360"/>
        <w:jc w:val="left"/>
        <w:tblLayout w:type="fixed"/>
        <w:tblLook w:firstColumn="1" w:firstRow="1" w:lastColumn="0" w:lastRow="0" w:noHBand="0" w:noVBand="1" w:val="04A0"/>
        <w:tblInd w:w="120" w:type="dxa"/>
      </w:tblPr>
      <w:tblGrid>
        <w:gridCol w:w="2952"/>
        <w:gridCol w:w="1944"/>
        <w:gridCol w:w="1584"/>
        <w:gridCol w:w="2880"/>
      </w:tblGrid>
      <w:tr>
        <w:trPr>
          <w:trHeight w:hRule="atLeast"/>
          <w:tblHeader w:val="true"/>
        </w:trPr>
        <w:tc>
          <w:tcPr>
            <w:tcW w:type="dxa" w:w="295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Milestone</w:t>
            </w:r>
          </w:p>
        </w:tc>
        <w:tc>
          <w:tcPr>
            <w:tcW w:type="dxa" w:w="194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Responsible party</w:t>
            </w:r>
          </w:p>
        </w:tc>
        <w:tc>
          <w:tcPr>
            <w:tcW w:type="dxa" w:w="158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Required date</w:t>
            </w:r>
          </w:p>
        </w:tc>
        <w:tc>
          <w:tcPr>
            <w:tcW w:type="dxa" w:w="288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Contractual consequence / notes</w:t>
            </w:r>
          </w:p>
        </w:tc>
      </w:tr>
      <w:tr>
        <w:trPr>
          <w:cantSplit/>
          <w:trHeight w:hRule="atLeast"/>
        </w:trPr>
        <w:tc>
          <w:tcPr>
            <w:tcW w:type="dxa" w:w="29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9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9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9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9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95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8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3.3  Excusable and Compensable Delay.  </w:t>
      </w:r>
      <w:r>
        <w:rPr>
          <w:rFonts w:ascii="Arial" w:hAnsi="Arial"/>
          <w:b w:val="0"/>
          <w:i w:val="0"/>
          <w:color w:val="111111"/>
          <w:sz w:val="19"/>
        </w:rPr>
        <w:t>Design-Builder is entitled to a reasonable extension for delay beyond its reasonable control, including Owner acts or omissions, Changes, differing conditions, unavoidable transportation interruption, abnormal weather, epidemic, governmental action, utility delay, casualty, and other force majeure events. Design-Builder is also entitled to an equitable adjustment of the Contract Sum when delay is caused by Owner, Owner's separate contractors, a compensable Change, suspension not caused by Design-Builder, or another event expressly identified as compensable below.</w:t>
      </w:r>
    </w:p>
    <w:p>
      <w:pPr>
        <w:keepNext w:val="0"/>
        <w:keepLines/>
        <w:widowControl/>
        <w:spacing w:before="0" w:after="110" w:lineRule="auto" w:line="252"/>
      </w:pPr>
      <w:r>
        <w:rPr>
          <w:rFonts w:ascii="Arial" w:hAnsi="Arial"/>
          <w:b/>
          <w:i w:val="0"/>
          <w:color w:val="1F2937"/>
          <w:sz w:val="19"/>
        </w:rPr>
        <w:t xml:space="preserve">3.4  Delay Notice and Mitigation.  </w:t>
      </w:r>
      <w:r>
        <w:rPr>
          <w:rFonts w:ascii="Arial" w:hAnsi="Arial"/>
          <w:b w:val="0"/>
          <w:i w:val="0"/>
          <w:color w:val="111111"/>
          <w:sz w:val="19"/>
        </w:rPr>
        <w:t>A party claiming delay shall provide reasonably prompt written notice, identify known schedule effect, update the information as it develops, and use reasonable efforts to mitigate. Late notice reduces recovery only to the extent the other party is materially prejudiced, unless mandatory law requires otherwise. Concurrent delay is allocated to the extent each party materially caused critical delay.</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PROJECT DELAY TERMS</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Delay notice period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Liquidated damages and any cap or grace period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Early-completion incentive or other special delay term</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pStyle w:val="Heading1"/>
        <w:keepNext/>
      </w:pPr>
      <w:r>
        <w:rPr>
          <w:rFonts w:ascii="Arial" w:hAnsi="Arial"/>
          <w:b/>
          <w:i w:val="0"/>
          <w:color w:val="922E26"/>
          <w:sz w:val="27"/>
        </w:rPr>
        <w:t>ARTICLE 4  |  OWNER'S CRITERIA AND CONTRACT BASIS</w:t>
      </w:r>
    </w:p>
    <w:p>
      <w:pPr>
        <w:keepNext w:val="0"/>
        <w:keepLines/>
        <w:widowControl/>
        <w:spacing w:before="0" w:after="110" w:lineRule="auto" w:line="252"/>
      </w:pPr>
      <w:r>
        <w:rPr>
          <w:rFonts w:ascii="Arial" w:hAnsi="Arial"/>
          <w:b/>
          <w:i w:val="0"/>
          <w:color w:val="1F2937"/>
          <w:sz w:val="19"/>
        </w:rPr>
        <w:t xml:space="preserve">4.1  Controlling Basis.  </w:t>
      </w:r>
      <w:r>
        <w:rPr>
          <w:rFonts w:ascii="Arial" w:hAnsi="Arial"/>
          <w:b w:val="0"/>
          <w:i w:val="0"/>
          <w:color w:val="111111"/>
          <w:sz w:val="19"/>
        </w:rPr>
        <w:t>The Contract Sum, Contract Time, design obligation, and construction scope are based on the conditions, criteria, specifications, drawings, schedules, narratives, reports, assumptions, clarifications, exclusions, and other documents specifically identified below. No unlisted proposal, drawing, estimate, or communication is incorporated.</w:t>
      </w:r>
    </w:p>
    <w:tbl>
      <w:tblPr>
        <w:tblW w:type="dxa" w:w="9360"/>
        <w:jc w:val="left"/>
        <w:tblLayout w:type="fixed"/>
        <w:tblLook w:firstColumn="1" w:firstRow="1" w:lastColumn="0" w:lastRow="0" w:noHBand="0" w:noVBand="1" w:val="04A0"/>
        <w:tblInd w:w="120" w:type="dxa"/>
      </w:tblPr>
      <w:tblGrid>
        <w:gridCol w:w="3240"/>
        <w:gridCol w:w="4680"/>
        <w:gridCol w:w="1440"/>
      </w:tblGrid>
      <w:tr>
        <w:trPr>
          <w:trHeight w:hRule="atLeast"/>
          <w:tblHeader w:val="true"/>
        </w:trPr>
        <w:tc>
          <w:tcPr>
            <w:tcW w:type="dxa" w:w="324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Document type</w:t>
            </w:r>
          </w:p>
        </w:tc>
        <w:tc>
          <w:tcPr>
            <w:tcW w:type="dxa" w:w="468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Title / identifier</w:t>
            </w:r>
          </w:p>
        </w:tc>
        <w:tc>
          <w:tcPr>
            <w:tcW w:type="dxa" w:w="144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Date / revision</w:t>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Scope / supplementary conditions</w:t>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Proposal / estimate</w:t>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Drawing index or drawing set</w:t>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Specification index or specification set</w:t>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Project schedule</w:t>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Owner's Criteria / program</w:t>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Survey, geotechnical, or environmental report</w:t>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Allowance, alternates, or responsibility schedule</w:t>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Other basis document</w:t>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2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Other basis document</w:t>
            </w:r>
          </w:p>
        </w:tc>
        <w:tc>
          <w:tcPr>
            <w:tcW w:type="dxa" w:w="468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44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4.2  Owner's Criteria.  </w:t>
      </w:r>
      <w:r>
        <w:rPr>
          <w:rFonts w:ascii="Arial" w:hAnsi="Arial"/>
          <w:b w:val="0"/>
          <w:i w:val="0"/>
          <w:color w:val="111111"/>
          <w:sz w:val="19"/>
        </w:rPr>
        <w:t>The Owner's Criteria are the program, performance requirements, design requirements, physical characteristics, schedule, quality expectations, site information, operational needs, and other requirements stated below or incorporated by a listed basis document. Design-Builder may rely on Owner-furnished information except for conflicts or deficiencies a qualified design-builder should reasonably identify while performing the agreed services.</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OWNER'S CRITERIA</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PROJECT REQUIREMENT</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Project program and intended use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Scope, quality, and performance requirements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Site and physical requirements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Owner-furnished surveys, reports, and site information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Owner-required architect, consultant, or contractor</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Sustainability, incentive, or special requirements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Other Owner criteria</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4.3  Criteria Compliance and Changes.  </w:t>
      </w:r>
      <w:r>
        <w:rPr>
          <w:rFonts w:ascii="Arial" w:hAnsi="Arial"/>
          <w:b w:val="0"/>
          <w:i w:val="0"/>
          <w:color w:val="111111"/>
          <w:sz w:val="19"/>
        </w:rPr>
        <w:t>Design-Builder shall review the Owner's Criteria for general consistency with applicable law and shall promptly report known conflicts. Design development that reasonably implements unchanged criteria is included. A material change in program, size, quality, performance, site limits, schedule, or another priced criterion is processed under Article 7.</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ACCEPTED DEVIATIONS</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BASIS</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Accepted deviations from Owner's Criteria</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4.4  Additional Owner Submittals.  </w:t>
      </w:r>
      <w:r>
        <w:rPr>
          <w:rFonts w:ascii="Arial" w:hAnsi="Arial"/>
          <w:b w:val="0"/>
          <w:i w:val="0"/>
          <w:color w:val="111111"/>
          <w:sz w:val="19"/>
        </w:rPr>
        <w:t>The following design or construction submissions require Owner review in addition to ordinary progress information, shop drawings, and product data.</w:t>
      </w:r>
    </w:p>
    <w:tbl>
      <w:tblPr>
        <w:tblW w:type="dxa" w:w="9360"/>
        <w:jc w:val="left"/>
        <w:tblLayout w:type="fixed"/>
        <w:tblLook w:firstColumn="1" w:firstRow="1" w:lastColumn="0" w:lastRow="0" w:noHBand="0" w:noVBand="1" w:val="04A0"/>
        <w:tblInd w:w="120" w:type="dxa"/>
      </w:tblPr>
      <w:tblGrid>
        <w:gridCol w:w="2592"/>
        <w:gridCol w:w="3600"/>
        <w:gridCol w:w="1584"/>
        <w:gridCol w:w="1584"/>
      </w:tblGrid>
      <w:tr>
        <w:trPr>
          <w:trHeight w:hRule="atLeast"/>
          <w:tblHeader w:val="true"/>
        </w:trPr>
        <w:tc>
          <w:tcPr>
            <w:tcW w:type="dxa" w:w="259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Submission</w:t>
            </w:r>
          </w:p>
        </w:tc>
        <w:tc>
          <w:tcPr>
            <w:tcW w:type="dxa" w:w="360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Required content</w:t>
            </w:r>
          </w:p>
        </w:tc>
        <w:tc>
          <w:tcPr>
            <w:tcW w:type="dxa" w:w="158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Owner review period</w:t>
            </w:r>
          </w:p>
        </w:tc>
        <w:tc>
          <w:tcPr>
            <w:tcW w:type="dxa" w:w="158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Decision deadline</w:t>
            </w:r>
          </w:p>
        </w:tc>
      </w:tr>
      <w:tr>
        <w:trPr>
          <w:cantSplit/>
          <w:trHeight w:hRule="atLeast"/>
        </w:trPr>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6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6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6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592"/>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6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58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4.5  Permits, Testing, Commissioning, and Closeout.  </w:t>
      </w:r>
      <w:r>
        <w:rPr>
          <w:rFonts w:ascii="Arial" w:hAnsi="Arial"/>
          <w:b w:val="0"/>
          <w:i w:val="0"/>
          <w:color w:val="111111"/>
          <w:sz w:val="19"/>
        </w:rPr>
        <w:t>Responsibility for Project approvals, testing, commissioning, regulatory completion, and closeout is allocated below. A cost is included in the Contract Sum only to the extent assigned to Design-Builder or expressly stated.</w:t>
      </w:r>
    </w:p>
    <w:tbl>
      <w:tblPr>
        <w:tblW w:type="dxa" w:w="9360"/>
        <w:jc w:val="left"/>
        <w:tblLayout w:type="fixed"/>
        <w:tblLook w:firstColumn="1" w:firstRow="1" w:lastColumn="0" w:lastRow="0" w:noHBand="0" w:noVBand="1" w:val="04A0"/>
        <w:tblInd w:w="120" w:type="dxa"/>
      </w:tblPr>
      <w:tblGrid>
        <w:gridCol w:w="3528"/>
        <w:gridCol w:w="1944"/>
        <w:gridCol w:w="3888"/>
      </w:tblGrid>
      <w:tr>
        <w:trPr>
          <w:trHeight w:hRule="atLeast"/>
          <w:tblHeader w:val="true"/>
        </w:trPr>
        <w:tc>
          <w:tcPr>
            <w:tcW w:type="dxa" w:w="352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Item</w:t>
            </w:r>
          </w:p>
        </w:tc>
        <w:tc>
          <w:tcPr>
            <w:tcW w:type="dxa" w:w="194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Responsible party</w:t>
            </w:r>
          </w:p>
        </w:tc>
        <w:tc>
          <w:tcPr>
            <w:tcW w:type="dxa" w:w="388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Scope / Contract Sum treatment / notes</w:t>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Zoning, land use, and entitlements</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Building permit</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Trade permits and utility applications</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Survey and construction layout</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Geotechnical and environmental services</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Special inspections and testing laboratory</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Commissioning and training</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352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Certificate of occupancy and closeout</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8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COMPLETION REQUIREMENTS</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Substantial Completion prerequisites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Closeout package, record documents, and O&amp;M materials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Training and commissioning requirements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Warranty commencement or partial occupancy conditions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pStyle w:val="Heading1"/>
        <w:keepNext/>
      </w:pPr>
      <w:r>
        <w:rPr>
          <w:rFonts w:ascii="Arial" w:hAnsi="Arial"/>
          <w:b/>
          <w:i w:val="0"/>
          <w:color w:val="922E26"/>
          <w:sz w:val="27"/>
        </w:rPr>
        <w:t>ARTICLE 5  |  DESIGN-BUILDER'S RESPONSIBILITIES</w:t>
      </w:r>
    </w:p>
    <w:p>
      <w:pPr>
        <w:keepNext w:val="0"/>
        <w:keepLines/>
        <w:widowControl/>
        <w:spacing w:before="0" w:after="110" w:lineRule="auto" w:line="252"/>
      </w:pPr>
      <w:r>
        <w:rPr>
          <w:rFonts w:ascii="Arial" w:hAnsi="Arial"/>
          <w:b/>
          <w:i w:val="0"/>
          <w:color w:val="1F2937"/>
          <w:sz w:val="19"/>
        </w:rPr>
        <w:t xml:space="preserve">5.1  Licensing and Single Point of Responsibility.  </w:t>
      </w:r>
      <w:r>
        <w:rPr>
          <w:rFonts w:ascii="Arial" w:hAnsi="Arial"/>
          <w:b w:val="0"/>
          <w:i w:val="0"/>
          <w:color w:val="111111"/>
          <w:sz w:val="19"/>
        </w:rPr>
        <w:t>Design-Builder shall comply with applicable licensing requirements and is contractually responsible for coordinating the included design and construction through its employees, Design Professionals, consultants, subcontractors, and suppliers. Services requiring professional licensure shall be performed, signed, and sealed by professionals properly licensed in the Project jurisdiction.</w:t>
      </w:r>
    </w:p>
    <w:p>
      <w:pPr>
        <w:keepNext w:val="0"/>
        <w:keepLines/>
        <w:widowControl/>
        <w:spacing w:before="0" w:after="110" w:lineRule="auto" w:line="252"/>
      </w:pPr>
      <w:r>
        <w:rPr>
          <w:rFonts w:ascii="Arial" w:hAnsi="Arial"/>
          <w:b/>
          <w:i w:val="0"/>
          <w:color w:val="1F2937"/>
          <w:sz w:val="19"/>
        </w:rPr>
        <w:t xml:space="preserve">5.2  Professional Standard of Care.  </w:t>
      </w:r>
      <w:r>
        <w:rPr>
          <w:rFonts w:ascii="Arial" w:hAnsi="Arial"/>
          <w:b w:val="0"/>
          <w:i w:val="0"/>
          <w:color w:val="111111"/>
          <w:sz w:val="19"/>
        </w:rPr>
        <w:t>Professional services shall be performed with the ordinary skill and care exercised by similarly situated licensed professionals practicing under similar circumstances. No warranty of perfect plans, permit approval, exact estimate, schedule, or outcome is created for professional services.</w:t>
      </w:r>
    </w:p>
    <w:p>
      <w:pPr>
        <w:keepNext w:val="0"/>
        <w:keepLines/>
        <w:widowControl/>
        <w:spacing w:before="0" w:after="110" w:lineRule="auto" w:line="252"/>
      </w:pPr>
      <w:r>
        <w:rPr>
          <w:rFonts w:ascii="Arial" w:hAnsi="Arial"/>
          <w:b/>
          <w:i w:val="0"/>
          <w:color w:val="1F2937"/>
          <w:sz w:val="19"/>
        </w:rPr>
        <w:t xml:space="preserve">5.3  Criteria Evaluation and Design.  </w:t>
      </w:r>
      <w:r>
        <w:rPr>
          <w:rFonts w:ascii="Arial" w:hAnsi="Arial"/>
          <w:b w:val="0"/>
          <w:i w:val="0"/>
          <w:color w:val="111111"/>
          <w:sz w:val="19"/>
        </w:rPr>
        <w:t>Design-Builder shall evaluate the Owner's Criteria, available site and existing-condition information, codes, permitting path, constructability, procurement risks, and schedule. Design-Builder shall prepare the included design deliverables, identify unresolved decisions and known deviations, and complete the Construction Documents consistently with the priced basis.</w:t>
      </w:r>
    </w:p>
    <w:p>
      <w:pPr>
        <w:keepNext w:val="0"/>
        <w:keepLines/>
        <w:widowControl/>
        <w:spacing w:before="0" w:after="110" w:lineRule="auto" w:line="252"/>
      </w:pPr>
      <w:r>
        <w:rPr>
          <w:rFonts w:ascii="Arial" w:hAnsi="Arial"/>
          <w:b/>
          <w:i w:val="0"/>
          <w:color w:val="1F2937"/>
          <w:sz w:val="19"/>
        </w:rPr>
        <w:t xml:space="preserve">5.4  Owner Review.  </w:t>
      </w:r>
      <w:r>
        <w:rPr>
          <w:rFonts w:ascii="Arial" w:hAnsi="Arial"/>
          <w:b w:val="0"/>
          <w:i w:val="0"/>
          <w:color w:val="111111"/>
          <w:sz w:val="19"/>
        </w:rPr>
        <w:t>Owner review confirms general alignment with Owner's business requirements and Owner's Criteria. It is not a technical peer review, code review, quantity verification, professional certification, or acceptance of construction means and methods. Owner shall provide consolidated comments and decisions within the accepted schedule.</w:t>
      </w:r>
    </w:p>
    <w:p>
      <w:pPr>
        <w:keepNext w:val="0"/>
        <w:keepLines/>
        <w:widowControl/>
        <w:spacing w:before="0" w:after="110" w:lineRule="auto" w:line="252"/>
      </w:pPr>
      <w:r>
        <w:rPr>
          <w:rFonts w:ascii="Arial" w:hAnsi="Arial"/>
          <w:b/>
          <w:i w:val="0"/>
          <w:color w:val="1F2937"/>
          <w:sz w:val="19"/>
        </w:rPr>
        <w:t xml:space="preserve">5.5  Schedules, Meetings, and Reports.  </w:t>
      </w:r>
      <w:r>
        <w:rPr>
          <w:rFonts w:ascii="Arial" w:hAnsi="Arial"/>
          <w:b w:val="0"/>
          <w:i w:val="0"/>
          <w:color w:val="111111"/>
          <w:sz w:val="19"/>
        </w:rPr>
        <w:t>Design-Builder shall prepare and update a coordinated schedule showing design decisions, Owner reviews, permits, procurement, construction, Substantial Completion, and Final Completion. Design-Builder shall conduct the meetings reasonably required by the Project and keep Owner informed of progress, quality, decisions, schedule, procurement, allowances, contingencies, Changes, safety, and material risks.</w:t>
      </w:r>
    </w:p>
    <w:p>
      <w:pPr>
        <w:keepNext w:val="0"/>
        <w:keepLines/>
        <w:widowControl/>
        <w:spacing w:before="0" w:after="110" w:lineRule="auto" w:line="252"/>
      </w:pPr>
      <w:r>
        <w:rPr>
          <w:rFonts w:ascii="Arial" w:hAnsi="Arial"/>
          <w:b/>
          <w:i w:val="0"/>
          <w:color w:val="1F2937"/>
          <w:sz w:val="19"/>
        </w:rPr>
        <w:t xml:space="preserve">5.6  Submittals and Coordination.  </w:t>
      </w:r>
      <w:r>
        <w:rPr>
          <w:rFonts w:ascii="Arial" w:hAnsi="Arial"/>
          <w:b w:val="0"/>
          <w:i w:val="0"/>
          <w:color w:val="111111"/>
          <w:sz w:val="19"/>
        </w:rPr>
        <w:t>Design-Builder shall maintain a submittal schedule and shall review and coordinate shop drawings, product data, samples, delegated design, and other submittals before required Owner review. Owner review does not relieve Design-Builder of responsibility for coordination, dimensions, quantities, safety, means and methods, or professional services.</w:t>
      </w:r>
    </w:p>
    <w:p>
      <w:pPr>
        <w:keepNext w:val="0"/>
        <w:keepLines/>
        <w:widowControl/>
        <w:spacing w:before="0" w:after="110" w:lineRule="auto" w:line="252"/>
      </w:pPr>
      <w:r>
        <w:rPr>
          <w:rFonts w:ascii="Arial" w:hAnsi="Arial"/>
          <w:b/>
          <w:i w:val="0"/>
          <w:color w:val="1F2937"/>
          <w:sz w:val="19"/>
        </w:rPr>
        <w:t xml:space="preserve">5.7  Responsibility for Participants.  </w:t>
      </w:r>
      <w:r>
        <w:rPr>
          <w:rFonts w:ascii="Arial" w:hAnsi="Arial"/>
          <w:b w:val="0"/>
          <w:i w:val="0"/>
          <w:color w:val="111111"/>
          <w:sz w:val="19"/>
        </w:rPr>
        <w:t>Design-Builder is responsible to Owner for the acts and omissions of its employees, Design Professionals, consultants, subcontractors, suppliers, and others performing portions of the Work under Design-Builder. Delegation does not eliminate Design-Builder's contractual coordination responsibility.</w:t>
      </w:r>
    </w:p>
    <w:p>
      <w:pPr>
        <w:keepNext w:val="0"/>
        <w:keepLines/>
        <w:widowControl/>
        <w:spacing w:before="0" w:after="110" w:lineRule="auto" w:line="252"/>
      </w:pPr>
      <w:r>
        <w:rPr>
          <w:rFonts w:ascii="Arial" w:hAnsi="Arial"/>
          <w:b/>
          <w:i w:val="0"/>
          <w:color w:val="1F2937"/>
          <w:sz w:val="19"/>
        </w:rPr>
        <w:t xml:space="preserve">5.8  Key Participants.  </w:t>
      </w:r>
      <w:r>
        <w:rPr>
          <w:rFonts w:ascii="Arial" w:hAnsi="Arial"/>
          <w:b w:val="0"/>
          <w:i w:val="0"/>
          <w:color w:val="111111"/>
          <w:sz w:val="19"/>
        </w:rPr>
        <w:t>Design-Builder shall assign the following key participants. Substitution requires reasonable prior notice and a replacement with comparable qualifications. A blank line does not restrict Design-Builder's ordinary procurement authority.</w:t>
      </w:r>
    </w:p>
    <w:tbl>
      <w:tblPr>
        <w:tblW w:type="dxa" w:w="9360"/>
        <w:jc w:val="left"/>
        <w:tblLayout w:type="fixed"/>
        <w:tblLook w:firstColumn="1" w:firstRow="1" w:lastColumn="0" w:lastRow="0" w:noHBand="0" w:noVBand="1" w:val="04A0"/>
        <w:tblInd w:w="120" w:type="dxa"/>
      </w:tblPr>
      <w:tblGrid>
        <w:gridCol w:w="2232"/>
        <w:gridCol w:w="1944"/>
        <w:gridCol w:w="2448"/>
        <w:gridCol w:w="2736"/>
      </w:tblGrid>
      <w:tr>
        <w:trPr>
          <w:trHeight w:hRule="atLeast"/>
          <w:tblHeader w:val="true"/>
        </w:trPr>
        <w:tc>
          <w:tcPr>
            <w:tcW w:type="dxa" w:w="2232"/>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Role / discipline</w:t>
            </w:r>
          </w:p>
        </w:tc>
        <w:tc>
          <w:tcPr>
            <w:tcW w:type="dxa" w:w="194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Name</w:t>
            </w:r>
          </w:p>
        </w:tc>
        <w:tc>
          <w:tcPr>
            <w:tcW w:type="dxa" w:w="244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Company</w:t>
            </w:r>
          </w:p>
        </w:tc>
        <w:tc>
          <w:tcPr>
            <w:tcW w:type="dxa" w:w="273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Contact / included scope</w:t>
            </w:r>
          </w:p>
        </w:tc>
      </w:tr>
      <w:tr>
        <w:trPr>
          <w:cantSplit/>
          <w:trHeight w:hRule="atLeast"/>
        </w:trPr>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Project executive</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Mefford Contracting, LLC</w:t>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Project manager</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Mefford Contracting, LLC</w:t>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Superintendent</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Mefford Contracting, LLC</w:t>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Architect</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Civil / structural</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Mechanical / electrical / plumbing</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Fire protection / specialty design</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232"/>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Other key participant</w:t>
            </w:r>
          </w:p>
        </w:tc>
        <w:tc>
          <w:tcPr>
            <w:tcW w:type="dxa" w:w="19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73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5.9  Royalties and Intellectual Property Claims.  </w:t>
      </w:r>
      <w:r>
        <w:rPr>
          <w:rFonts w:ascii="Arial" w:hAnsi="Arial"/>
          <w:b w:val="0"/>
          <w:i w:val="0"/>
          <w:color w:val="111111"/>
          <w:sz w:val="19"/>
        </w:rPr>
        <w:t>Design-Builder shall pay royalties and license fees for items selected by Design-Builder. Each party is responsible for intellectual-property claims arising from requirements, designs, specifications, or materials it furnished, except to the extent the other party knew of an infringement and failed to provide notice.</w:t>
      </w:r>
    </w:p>
    <w:p>
      <w:pPr>
        <w:keepNext w:val="0"/>
        <w:keepLines/>
        <w:widowControl/>
        <w:spacing w:before="0" w:after="110" w:lineRule="auto" w:line="252"/>
      </w:pPr>
      <w:r>
        <w:rPr>
          <w:rFonts w:ascii="Arial" w:hAnsi="Arial"/>
          <w:b/>
          <w:i w:val="0"/>
          <w:color w:val="1F2937"/>
          <w:sz w:val="19"/>
        </w:rPr>
        <w:t xml:space="preserve">5.10  Design Errors and Betterment.  </w:t>
      </w:r>
      <w:r>
        <w:rPr>
          <w:rFonts w:ascii="Arial" w:hAnsi="Arial"/>
          <w:b w:val="0"/>
          <w:i w:val="0"/>
          <w:color w:val="111111"/>
          <w:sz w:val="19"/>
        </w:rPr>
        <w:t>Design-Builder shall correct professional services that fail to meet the applicable standard of care without additional design compensation. Design-Builder is responsible for resulting construction cost only to the extent caused by that failure and not for betterment, added Owner scope, increased value, or cost that Owner would have incurred had the design originally contained the required feature.</w:t>
      </w:r>
    </w:p>
    <w:p>
      <w:pPr>
        <w:keepNext w:val="0"/>
        <w:keepLines/>
        <w:widowControl/>
        <w:spacing w:before="0" w:after="110" w:lineRule="auto" w:line="252"/>
      </w:pPr>
      <w:r>
        <w:rPr>
          <w:rFonts w:ascii="Arial" w:hAnsi="Arial"/>
          <w:b/>
          <w:i w:val="0"/>
          <w:color w:val="1F2937"/>
          <w:sz w:val="19"/>
        </w:rPr>
        <w:t xml:space="preserve">5.11  Contingent Assignment.  </w:t>
      </w:r>
      <w:r>
        <w:rPr>
          <w:rFonts w:ascii="Arial" w:hAnsi="Arial"/>
          <w:b w:val="0"/>
          <w:i w:val="0"/>
          <w:color w:val="111111"/>
          <w:sz w:val="19"/>
        </w:rPr>
        <w:t>Design-Builder's subcontracts and consultant agreements are conditionally assigned to Owner, effective only if Owner terminates Design-Builder for cause, accepts the assignment in writing, and assumes Design-Builder's obligations arising after acceptance.</w:t>
      </w:r>
    </w:p>
    <w:p>
      <w:pPr>
        <w:keepNext w:val="0"/>
        <w:keepLines/>
        <w:widowControl/>
        <w:spacing w:before="0" w:after="110" w:lineRule="auto" w:line="252"/>
      </w:pPr>
      <w:r>
        <w:rPr>
          <w:rFonts w:ascii="Arial" w:hAnsi="Arial"/>
          <w:b/>
          <w:i w:val="0"/>
          <w:color w:val="1F2937"/>
          <w:sz w:val="19"/>
        </w:rPr>
        <w:t xml:space="preserve">5.12  Relationship of the Parties.  </w:t>
      </w:r>
      <w:r>
        <w:rPr>
          <w:rFonts w:ascii="Arial" w:hAnsi="Arial"/>
          <w:b w:val="0"/>
          <w:i w:val="0"/>
          <w:color w:val="111111"/>
          <w:sz w:val="19"/>
        </w:rPr>
        <w:t>Design-Builder accepts a relationship of trust and confidence and shall exercise skill and judgment in furthering Owner's interests, furnish efficient design and construction administration, maintain adequate labor and materials, and perform the Work in an expeditious and economical manner consistent with the Contract Documents.</w:t>
      </w:r>
    </w:p>
    <w:p>
      <w:pPr>
        <w:pStyle w:val="Heading1"/>
        <w:keepNext/>
      </w:pPr>
      <w:r>
        <w:rPr>
          <w:rFonts w:ascii="Arial" w:hAnsi="Arial"/>
          <w:b/>
          <w:i w:val="0"/>
          <w:color w:val="922E26"/>
          <w:sz w:val="27"/>
        </w:rPr>
        <w:t>ARTICLE 6  |  CONSTRUCTION REQUIREMENTS</w:t>
      </w:r>
    </w:p>
    <w:p>
      <w:pPr>
        <w:keepNext w:val="0"/>
        <w:keepLines/>
        <w:widowControl/>
        <w:spacing w:before="0" w:after="110" w:lineRule="auto" w:line="252"/>
      </w:pPr>
      <w:r>
        <w:rPr>
          <w:rFonts w:ascii="Arial" w:hAnsi="Arial"/>
          <w:b/>
          <w:i w:val="0"/>
          <w:color w:val="1F2937"/>
          <w:sz w:val="19"/>
        </w:rPr>
        <w:t xml:space="preserve">6.1  Commencement and Supervision.  </w:t>
      </w:r>
      <w:r>
        <w:rPr>
          <w:rFonts w:ascii="Arial" w:hAnsi="Arial"/>
          <w:b w:val="0"/>
          <w:i w:val="0"/>
          <w:color w:val="111111"/>
          <w:sz w:val="19"/>
        </w:rPr>
        <w:t>Construction shall begin after the commencement conditions in Article 3 are satisfied. Design-Builder shall supervise and direct the construction Work and is responsible for means, methods, techniques, sequences, procedures, coordination, and site safety, except for a method expressly required by Owner over Design-Builder's written objection.</w:t>
      </w:r>
    </w:p>
    <w:p>
      <w:pPr>
        <w:keepNext w:val="0"/>
        <w:keepLines/>
        <w:widowControl/>
        <w:spacing w:before="0" w:after="110" w:lineRule="auto" w:line="252"/>
      </w:pPr>
      <w:r>
        <w:rPr>
          <w:rFonts w:ascii="Arial" w:hAnsi="Arial"/>
          <w:b/>
          <w:i w:val="0"/>
          <w:color w:val="1F2937"/>
          <w:sz w:val="19"/>
        </w:rPr>
        <w:t xml:space="preserve">6.2  Labor and Materials.  </w:t>
      </w:r>
      <w:r>
        <w:rPr>
          <w:rFonts w:ascii="Arial" w:hAnsi="Arial"/>
          <w:b w:val="0"/>
          <w:i w:val="0"/>
          <w:color w:val="111111"/>
          <w:sz w:val="19"/>
        </w:rPr>
        <w:t>Design-Builder shall furnish and pay for the labor, materials, equipment, temporary facilities, supervision, and services included in the Contract. Materials and equipment shall be new unless otherwise permitted, of good quality, and free from material defects not inherent in the specified quality.</w:t>
      </w:r>
    </w:p>
    <w:p>
      <w:pPr>
        <w:keepNext w:val="0"/>
        <w:keepLines/>
        <w:widowControl/>
        <w:spacing w:before="0" w:after="110" w:lineRule="auto" w:line="252"/>
      </w:pPr>
      <w:r>
        <w:rPr>
          <w:rFonts w:ascii="Arial" w:hAnsi="Arial"/>
          <w:b/>
          <w:i w:val="0"/>
          <w:color w:val="1F2937"/>
          <w:sz w:val="19"/>
        </w:rPr>
        <w:t xml:space="preserve">6.3  Substitutions.  </w:t>
      </w:r>
      <w:r>
        <w:rPr>
          <w:rFonts w:ascii="Arial" w:hAnsi="Arial"/>
          <w:b w:val="0"/>
          <w:i w:val="0"/>
          <w:color w:val="111111"/>
          <w:sz w:val="19"/>
        </w:rPr>
        <w:t>A substitution affecting appearance, performance, maintenance, warranty, code compliance, price, or time requires documented review and Owner approval. Design-Builder shall identify material effects and coordinate approved substitutions with the design and other Work.</w:t>
      </w:r>
    </w:p>
    <w:p>
      <w:pPr>
        <w:keepNext w:val="0"/>
        <w:keepLines/>
        <w:widowControl/>
        <w:spacing w:before="0" w:after="110" w:lineRule="auto" w:line="252"/>
      </w:pPr>
      <w:r>
        <w:rPr>
          <w:rFonts w:ascii="Arial" w:hAnsi="Arial"/>
          <w:b/>
          <w:i w:val="0"/>
          <w:color w:val="1F2937"/>
          <w:sz w:val="19"/>
        </w:rPr>
        <w:t xml:space="preserve">6.4  Taxes, Permits, and Fees.  </w:t>
      </w:r>
      <w:r>
        <w:rPr>
          <w:rFonts w:ascii="Arial" w:hAnsi="Arial"/>
          <w:b w:val="0"/>
          <w:i w:val="0"/>
          <w:color w:val="111111"/>
          <w:sz w:val="19"/>
        </w:rPr>
        <w:t>Responsibility for sales and use taxes, permits, licenses, inspections, utility charges, tap fees, impact fees, and similar costs is stated in Articles 2 and 4. A new or changed governmental requirement after the pricing date is treated as a Change to the extent it affects cost or time and was not caused by Design-Builder's noncompliance.</w:t>
      </w:r>
    </w:p>
    <w:p>
      <w:pPr>
        <w:keepNext w:val="0"/>
        <w:keepLines/>
        <w:widowControl/>
        <w:spacing w:before="0" w:after="110" w:lineRule="auto" w:line="252"/>
      </w:pPr>
      <w:r>
        <w:rPr>
          <w:rFonts w:ascii="Arial" w:hAnsi="Arial"/>
          <w:b/>
          <w:i w:val="0"/>
          <w:color w:val="1F2937"/>
          <w:sz w:val="19"/>
        </w:rPr>
        <w:t xml:space="preserve">6.5  Concealed or Unknown Conditions.  </w:t>
      </w:r>
      <w:r>
        <w:rPr>
          <w:rFonts w:ascii="Arial" w:hAnsi="Arial"/>
          <w:b w:val="0"/>
          <w:i w:val="0"/>
          <w:color w:val="111111"/>
          <w:sz w:val="19"/>
        </w:rPr>
        <w:t>If concealed or unknown physical conditions materially differ from those reasonably inferable from the Contract Documents, disclosed information, and ordinary conditions for comparable work, Design-Builder shall protect the area and give prompt notice before disturbance when practicable. The parties shall equitably adjust Contract Sum and Contract Time as warranted.</w:t>
      </w:r>
    </w:p>
    <w:p>
      <w:pPr>
        <w:keepNext w:val="0"/>
        <w:keepLines/>
        <w:widowControl/>
        <w:spacing w:before="0" w:after="110" w:lineRule="auto" w:line="252"/>
      </w:pPr>
      <w:r>
        <w:rPr>
          <w:rFonts w:ascii="Arial" w:hAnsi="Arial"/>
          <w:b/>
          <w:i w:val="0"/>
          <w:color w:val="1F2937"/>
          <w:sz w:val="19"/>
        </w:rPr>
        <w:t xml:space="preserve">6.6  Human Remains and Regulated Conditions.  </w:t>
      </w:r>
      <w:r>
        <w:rPr>
          <w:rFonts w:ascii="Arial" w:hAnsi="Arial"/>
          <w:b w:val="0"/>
          <w:i w:val="0"/>
          <w:color w:val="111111"/>
          <w:sz w:val="19"/>
        </w:rPr>
        <w:t>On discovery of human remains, archaeological materials, wetlands, endangered species, or other legally protected conditions, Design-Builder shall stop affected Work, secure the area, and notify Owner. Owner shall obtain required professional and governmental direction unless Article 4 expressly assigns that responsibility to Design-Builder.</w:t>
      </w:r>
    </w:p>
    <w:p>
      <w:pPr>
        <w:keepNext w:val="0"/>
        <w:keepLines/>
        <w:widowControl/>
        <w:spacing w:before="0" w:after="110" w:lineRule="auto" w:line="252"/>
      </w:pPr>
      <w:r>
        <w:rPr>
          <w:rFonts w:ascii="Arial" w:hAnsi="Arial"/>
          <w:b/>
          <w:i w:val="0"/>
          <w:color w:val="1F2937"/>
          <w:sz w:val="19"/>
        </w:rPr>
        <w:t xml:space="preserve">6.7  Key Participants and Procurement.  </w:t>
      </w:r>
      <w:r>
        <w:rPr>
          <w:rFonts w:ascii="Arial" w:hAnsi="Arial"/>
          <w:b w:val="0"/>
          <w:i w:val="0"/>
          <w:color w:val="111111"/>
          <w:sz w:val="19"/>
        </w:rPr>
        <w:t>Design-Builder shall retain qualified Design Professionals, consultants, subcontractors, and suppliers, subject to reasonable substitution. Owner participation in trade selection is advisory unless a specific approval right is stated. A directed firm or rejection of Design-Builder's recommended qualified conforming bidder entitles Design-Builder to an adjustment for resulting cost and time.</w:t>
      </w:r>
    </w:p>
    <w:p>
      <w:pPr>
        <w:keepNext w:val="0"/>
        <w:keepLines/>
        <w:widowControl/>
        <w:spacing w:before="0" w:after="110" w:lineRule="auto" w:line="252"/>
      </w:pPr>
      <w:r>
        <w:rPr>
          <w:rFonts w:ascii="Arial" w:hAnsi="Arial"/>
          <w:b/>
          <w:i w:val="0"/>
          <w:color w:val="1F2937"/>
          <w:sz w:val="19"/>
        </w:rPr>
        <w:t xml:space="preserve">6.8  Site Documents, Access, and Use.  </w:t>
      </w:r>
      <w:r>
        <w:rPr>
          <w:rFonts w:ascii="Arial" w:hAnsi="Arial"/>
          <w:b w:val="0"/>
          <w:i w:val="0"/>
          <w:color w:val="111111"/>
          <w:sz w:val="19"/>
        </w:rPr>
        <w:t>Design-Builder shall maintain current Contract Documents, approved submittals, Changes, reports, and records at the site or in the agreed electronic system. Owner and its consultants may access the Work on reasonable notice without interfering with operations or assuming responsibility for safety or means and methods.</w:t>
      </w:r>
    </w:p>
    <w:p>
      <w:pPr>
        <w:keepNext w:val="0"/>
        <w:keepLines/>
        <w:widowControl/>
        <w:spacing w:before="0" w:after="110" w:lineRule="auto" w:line="252"/>
      </w:pPr>
      <w:r>
        <w:rPr>
          <w:rFonts w:ascii="Arial" w:hAnsi="Arial"/>
          <w:b/>
          <w:i w:val="0"/>
          <w:color w:val="1F2937"/>
          <w:sz w:val="19"/>
        </w:rPr>
        <w:t xml:space="preserve">6.9  Cutting, Patching, and Cleanup.  </w:t>
      </w:r>
      <w:r>
        <w:rPr>
          <w:rFonts w:ascii="Arial" w:hAnsi="Arial"/>
          <w:b w:val="0"/>
          <w:i w:val="0"/>
          <w:color w:val="111111"/>
          <w:sz w:val="19"/>
        </w:rPr>
        <w:t>Design-Builder shall perform cutting and patching required for the included Work, protect adjacent property, and keep the site reasonably free of waste. Owner is responsible for cost and delay caused by Owner's forces or separate contractors.</w:t>
      </w:r>
    </w:p>
    <w:p>
      <w:pPr>
        <w:keepNext w:val="0"/>
        <w:keepLines/>
        <w:widowControl/>
        <w:spacing w:before="0" w:after="110" w:lineRule="auto" w:line="252"/>
      </w:pPr>
      <w:r>
        <w:rPr>
          <w:rFonts w:ascii="Arial" w:hAnsi="Arial"/>
          <w:b/>
          <w:i w:val="0"/>
          <w:color w:val="1F2937"/>
          <w:sz w:val="19"/>
        </w:rPr>
        <w:t xml:space="preserve">6.10  Owner and Separate Contractors.  </w:t>
      </w:r>
      <w:r>
        <w:rPr>
          <w:rFonts w:ascii="Arial" w:hAnsi="Arial"/>
          <w:b w:val="0"/>
          <w:i w:val="0"/>
          <w:color w:val="111111"/>
          <w:sz w:val="19"/>
        </w:rPr>
        <w:t>Owner may perform work with its own forces or separate contractors. Owner shall coordinate such work with Design-Builder's schedule, require compliance with site safety and insurance requirements, and bear cost or delay caused by late, defective, or interfering separate work.</w:t>
      </w:r>
    </w:p>
    <w:p>
      <w:pPr>
        <w:pStyle w:val="Heading1"/>
        <w:keepNext/>
      </w:pPr>
      <w:r>
        <w:rPr>
          <w:rFonts w:ascii="Arial" w:hAnsi="Arial"/>
          <w:b/>
          <w:i w:val="0"/>
          <w:color w:val="922E26"/>
          <w:sz w:val="27"/>
        </w:rPr>
        <w:t>ARTICLE 7  |  CHANGES IN THE WORK</w:t>
      </w:r>
    </w:p>
    <w:p>
      <w:pPr>
        <w:keepNext w:val="0"/>
        <w:keepLines/>
        <w:widowControl/>
        <w:spacing w:before="0" w:after="110" w:lineRule="auto" w:line="252"/>
      </w:pPr>
      <w:r>
        <w:rPr>
          <w:rFonts w:ascii="Arial" w:hAnsi="Arial"/>
          <w:b/>
          <w:i w:val="0"/>
          <w:color w:val="1F2937"/>
          <w:sz w:val="19"/>
        </w:rPr>
        <w:t xml:space="preserve">7.1  Modifications.  </w:t>
      </w:r>
      <w:r>
        <w:rPr>
          <w:rFonts w:ascii="Arial" w:hAnsi="Arial"/>
          <w:b w:val="0"/>
          <w:i w:val="0"/>
          <w:color w:val="111111"/>
          <w:sz w:val="19"/>
        </w:rPr>
        <w:t>Changes may be accomplished by a written amendment, a Change Order signed by both parties, or a written directive issued under this Article. A Modification may adjust scope, Contract Sum, Contract Time, Owner's Criteria, or other terms without invalidating the Contract.</w:t>
      </w:r>
    </w:p>
    <w:p>
      <w:pPr>
        <w:keepNext w:val="0"/>
        <w:keepLines/>
        <w:widowControl/>
        <w:spacing w:before="0" w:after="110" w:lineRule="auto" w:line="252"/>
      </w:pPr>
      <w:r>
        <w:rPr>
          <w:rFonts w:ascii="Arial" w:hAnsi="Arial"/>
          <w:b/>
          <w:i w:val="0"/>
          <w:color w:val="1F2937"/>
          <w:sz w:val="19"/>
        </w:rPr>
        <w:t xml:space="preserve">7.2  Change Orders.  </w:t>
      </w:r>
      <w:r>
        <w:rPr>
          <w:rFonts w:ascii="Arial" w:hAnsi="Arial"/>
          <w:b w:val="0"/>
          <w:i w:val="0"/>
          <w:color w:val="111111"/>
          <w:sz w:val="19"/>
        </w:rPr>
        <w:t>A Change Order shall state the agreed change, adjustment to the Contract Sum, adjustment to Contract Time, and any revision to the Contract Documents. The absence of a stated time adjustment means no time adjustment only when the parties expressly so state.</w:t>
      </w:r>
    </w:p>
    <w:p>
      <w:pPr>
        <w:keepNext w:val="0"/>
        <w:keepLines/>
        <w:widowControl/>
        <w:spacing w:before="0" w:after="110" w:lineRule="auto" w:line="252"/>
      </w:pPr>
      <w:r>
        <w:rPr>
          <w:rFonts w:ascii="Arial" w:hAnsi="Arial"/>
          <w:b/>
          <w:i w:val="0"/>
          <w:color w:val="1F2937"/>
          <w:sz w:val="19"/>
        </w:rPr>
        <w:t xml:space="preserve">7.3  Written Directives.  </w:t>
      </w:r>
      <w:r>
        <w:rPr>
          <w:rFonts w:ascii="Arial" w:hAnsi="Arial"/>
          <w:b w:val="0"/>
          <w:i w:val="0"/>
          <w:color w:val="111111"/>
          <w:sz w:val="19"/>
        </w:rPr>
        <w:t>Owner may direct a change within the general scope before price and time are agreed. The directive shall identify the Work and interim pricing method. Design-Builder shall proceed only to the extent lawful and safe, maintain contemporaneous records, and submit a prompt proposal. Undisputed verified amounts may be included in applications for payment.</w:t>
      </w:r>
    </w:p>
    <w:p>
      <w:pPr>
        <w:keepNext w:val="0"/>
        <w:keepLines/>
        <w:widowControl/>
        <w:spacing w:before="0" w:after="110" w:lineRule="auto" w:line="252"/>
      </w:pPr>
      <w:r>
        <w:rPr>
          <w:rFonts w:ascii="Arial" w:hAnsi="Arial"/>
          <w:b/>
          <w:i w:val="0"/>
          <w:color w:val="1F2937"/>
          <w:sz w:val="19"/>
        </w:rPr>
        <w:t xml:space="preserve">7.4  Change Pricing.  </w:t>
      </w:r>
      <w:r>
        <w:rPr>
          <w:rFonts w:ascii="Arial" w:hAnsi="Arial"/>
          <w:b w:val="0"/>
          <w:i w:val="0"/>
          <w:color w:val="111111"/>
          <w:sz w:val="19"/>
        </w:rPr>
        <w:t>Changes may be priced by agreed lump sum, unit prices, documented actual cost plus the markups stated below, or another written method. Pricing shall identify design, labor, material, equipment, subcontractor tiers, insurance, bond, tax, overhead, profit, schedule, escalation, and remobilization effects.</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CHANGE PRICING</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Markup on Design-Builder self-performed Changes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Markup on subcontracted Changes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Second-tier, bond, insurance, tax, or other markup</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Time-and-material rates or documentation requirements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7.5  Credits.  </w:t>
      </w:r>
      <w:r>
        <w:rPr>
          <w:rFonts w:ascii="Arial" w:hAnsi="Arial"/>
          <w:b w:val="0"/>
          <w:i w:val="0"/>
          <w:color w:val="111111"/>
          <w:sz w:val="19"/>
        </w:rPr>
        <w:t>A credit for deleted Work equals the net cost avoided after accounting for commitments, cancellation, restocking, design, schedule, remobilization, and applicable overhead and profit adjustments. No credit is due for cost already incurred or reasonably committed before authorization of the deletion.</w:t>
      </w:r>
    </w:p>
    <w:p>
      <w:pPr>
        <w:keepNext w:val="0"/>
        <w:keepLines/>
        <w:widowControl/>
        <w:spacing w:before="0" w:after="110" w:lineRule="auto" w:line="252"/>
      </w:pPr>
      <w:r>
        <w:rPr>
          <w:rFonts w:ascii="Arial" w:hAnsi="Arial"/>
          <w:b/>
          <w:i w:val="0"/>
          <w:color w:val="1F2937"/>
          <w:sz w:val="19"/>
        </w:rPr>
        <w:t xml:space="preserve">7.6  Minor Changes and Emergencies.  </w:t>
      </w:r>
      <w:r>
        <w:rPr>
          <w:rFonts w:ascii="Arial" w:hAnsi="Arial"/>
          <w:b w:val="0"/>
          <w:i w:val="0"/>
          <w:color w:val="111111"/>
          <w:sz w:val="19"/>
        </w:rPr>
        <w:t>Design-Builder may make a minor change consistent with the intent of the Contract Documents that does not affect Contract Sum or Contract Time and shall record it. In an emergency threatening persons or property, Design-Builder may act without prior approval to prevent harm, shall notify Owner promptly, and shall document reasonable cost and time.</w:t>
      </w:r>
    </w:p>
    <w:p>
      <w:pPr>
        <w:keepNext w:val="0"/>
        <w:keepLines/>
        <w:widowControl/>
        <w:spacing w:before="0" w:after="110" w:lineRule="auto" w:line="252"/>
      </w:pPr>
      <w:r>
        <w:rPr>
          <w:rFonts w:ascii="Arial" w:hAnsi="Arial"/>
          <w:b/>
          <w:i w:val="0"/>
          <w:color w:val="1F2937"/>
          <w:sz w:val="19"/>
        </w:rPr>
        <w:t xml:space="preserve">7.7  No Oral Modification.  </w:t>
      </w:r>
      <w:r>
        <w:rPr>
          <w:rFonts w:ascii="Arial" w:hAnsi="Arial"/>
          <w:b w:val="0"/>
          <w:i w:val="0"/>
          <w:color w:val="111111"/>
          <w:sz w:val="19"/>
        </w:rPr>
        <w:t>An oral direction, meeting comment, submittal response, schedule update, payment, or failure to object does not modify the Contract. A party shall promptly notify the other when it believes a direction or condition affects scope, price, or time.</w:t>
      </w:r>
    </w:p>
    <w:p>
      <w:pPr>
        <w:pStyle w:val="Heading1"/>
        <w:keepNext/>
      </w:pPr>
      <w:r>
        <w:rPr>
          <w:rFonts w:ascii="Arial" w:hAnsi="Arial"/>
          <w:b/>
          <w:i w:val="0"/>
          <w:color w:val="922E26"/>
          <w:sz w:val="27"/>
        </w:rPr>
        <w:t>ARTICLE 8  |  OWNER'S RESPONSIBILITIES</w:t>
      </w:r>
    </w:p>
    <w:p>
      <w:pPr>
        <w:keepNext w:val="0"/>
        <w:keepLines/>
        <w:widowControl/>
        <w:spacing w:before="0" w:after="110" w:lineRule="auto" w:line="252"/>
      </w:pPr>
      <w:r>
        <w:rPr>
          <w:rFonts w:ascii="Arial" w:hAnsi="Arial"/>
          <w:b/>
          <w:i w:val="0"/>
          <w:color w:val="1F2937"/>
          <w:sz w:val="19"/>
        </w:rPr>
        <w:t xml:space="preserve">8.1  Representative and Decisions.  </w:t>
      </w:r>
      <w:r>
        <w:rPr>
          <w:rFonts w:ascii="Arial" w:hAnsi="Arial"/>
          <w:b w:val="0"/>
          <w:i w:val="0"/>
          <w:color w:val="111111"/>
          <w:sz w:val="19"/>
        </w:rPr>
        <w:t>Owner shall designate a representative with authority to act for Owner and shall render decisions, approvals, selections, and consolidated comments with reasonable promptness and in accordance with the accepted schedule.</w:t>
      </w:r>
    </w:p>
    <w:p>
      <w:pPr>
        <w:keepNext w:val="0"/>
        <w:keepLines/>
        <w:widowControl/>
        <w:spacing w:before="0" w:after="110" w:lineRule="auto" w:line="252"/>
      </w:pPr>
      <w:r>
        <w:rPr>
          <w:rFonts w:ascii="Arial" w:hAnsi="Arial"/>
          <w:b/>
          <w:i w:val="0"/>
          <w:color w:val="1F2937"/>
          <w:sz w:val="19"/>
        </w:rPr>
        <w:t xml:space="preserve">8.2  Information and Services.  </w:t>
      </w:r>
      <w:r>
        <w:rPr>
          <w:rFonts w:ascii="Arial" w:hAnsi="Arial"/>
          <w:b w:val="0"/>
          <w:i w:val="0"/>
          <w:color w:val="111111"/>
          <w:sz w:val="19"/>
        </w:rPr>
        <w:t>Owner shall timely furnish accurate program information, surveys, legal descriptions, title information, easements, existing-condition records, hazardous-material information, geotechnical and environmental reports, utility information, and other services assigned to Owner. Design-Builder may rely on such information subject to its agreed review obligations.</w:t>
      </w:r>
    </w:p>
    <w:p>
      <w:pPr>
        <w:keepNext w:val="0"/>
        <w:keepLines/>
        <w:widowControl/>
        <w:spacing w:before="0" w:after="110" w:lineRule="auto" w:line="252"/>
      </w:pPr>
      <w:r>
        <w:rPr>
          <w:rFonts w:ascii="Arial" w:hAnsi="Arial"/>
          <w:b/>
          <w:i w:val="0"/>
          <w:color w:val="1F2937"/>
          <w:sz w:val="19"/>
        </w:rPr>
        <w:t xml:space="preserve">8.3  Financing Evidence.  </w:t>
      </w:r>
      <w:r>
        <w:rPr>
          <w:rFonts w:ascii="Arial" w:hAnsi="Arial"/>
          <w:b w:val="0"/>
          <w:i w:val="0"/>
          <w:color w:val="111111"/>
          <w:sz w:val="19"/>
        </w:rPr>
        <w:t>Before commencement of construction and thereafter upon reasonable grounds, Owner shall provide reasonable evidence that financing is available to satisfy Owner's obligations. If evidence is not provided within a reasonable time, Design-Builder may suspend affected Work after notice and receive an equitable adjustment.</w:t>
      </w:r>
    </w:p>
    <w:p>
      <w:pPr>
        <w:keepNext w:val="0"/>
        <w:keepLines/>
        <w:widowControl/>
        <w:spacing w:before="0" w:after="110" w:lineRule="auto" w:line="252"/>
      </w:pPr>
      <w:r>
        <w:rPr>
          <w:rFonts w:ascii="Arial" w:hAnsi="Arial"/>
          <w:b/>
          <w:i w:val="0"/>
          <w:color w:val="1F2937"/>
          <w:sz w:val="19"/>
        </w:rPr>
        <w:t xml:space="preserve">8.4  Permits and Legal Authorizations.  </w:t>
      </w:r>
      <w:r>
        <w:rPr>
          <w:rFonts w:ascii="Arial" w:hAnsi="Arial"/>
          <w:b w:val="0"/>
          <w:i w:val="0"/>
          <w:color w:val="111111"/>
          <w:sz w:val="19"/>
        </w:rPr>
        <w:t>Owner shall obtain easements, zoning approvals, entitlements, and legal authorizations assigned to Owner and shall cooperate with Design-Builder in obtaining permits and inspections assigned to Design-Builder.</w:t>
      </w:r>
    </w:p>
    <w:p>
      <w:pPr>
        <w:keepNext w:val="0"/>
        <w:keepLines/>
        <w:widowControl/>
        <w:spacing w:before="0" w:after="110" w:lineRule="auto" w:line="252"/>
      </w:pPr>
      <w:r>
        <w:rPr>
          <w:rFonts w:ascii="Arial" w:hAnsi="Arial"/>
          <w:b/>
          <w:i w:val="0"/>
          <w:color w:val="1F2937"/>
          <w:sz w:val="19"/>
        </w:rPr>
        <w:t xml:space="preserve">8.5  Owner Consultants and Separate Work.  </w:t>
      </w:r>
      <w:r>
        <w:rPr>
          <w:rFonts w:ascii="Arial" w:hAnsi="Arial"/>
          <w:b w:val="0"/>
          <w:i w:val="0"/>
          <w:color w:val="111111"/>
          <w:sz w:val="19"/>
        </w:rPr>
        <w:t>Owner shall require its consultants and separate contractors to coordinate with Design-Builder, comply with the integrated schedule and site rules, and maintain appropriate insurance. Owner is responsible for their acts and omissions and for resulting cost and delay.</w:t>
      </w:r>
    </w:p>
    <w:p>
      <w:pPr>
        <w:keepNext w:val="0"/>
        <w:keepLines/>
        <w:widowControl/>
        <w:spacing w:before="0" w:after="110" w:lineRule="auto" w:line="252"/>
      </w:pPr>
      <w:r>
        <w:rPr>
          <w:rFonts w:ascii="Arial" w:hAnsi="Arial"/>
          <w:b/>
          <w:i w:val="0"/>
          <w:color w:val="1F2937"/>
          <w:sz w:val="19"/>
        </w:rPr>
        <w:t xml:space="preserve">8.6  Submittal Review.  </w:t>
      </w:r>
      <w:r>
        <w:rPr>
          <w:rFonts w:ascii="Arial" w:hAnsi="Arial"/>
          <w:b w:val="0"/>
          <w:i w:val="0"/>
          <w:color w:val="111111"/>
          <w:sz w:val="19"/>
        </w:rPr>
        <w:t>Owner shall review required submittals only for general conformance with the Owner's Criteria and shall not unreasonably delay action. Owner review does not transfer Design-Builder's technical or coordination responsibilities.</w:t>
      </w:r>
    </w:p>
    <w:p>
      <w:pPr>
        <w:keepNext w:val="0"/>
        <w:keepLines/>
        <w:widowControl/>
        <w:spacing w:before="0" w:after="110" w:lineRule="auto" w:line="252"/>
      </w:pPr>
      <w:r>
        <w:rPr>
          <w:rFonts w:ascii="Arial" w:hAnsi="Arial"/>
          <w:b/>
          <w:i w:val="0"/>
          <w:color w:val="1F2937"/>
          <w:sz w:val="19"/>
        </w:rPr>
        <w:t xml:space="preserve">8.7  Right to Stop or Carry Out Work.  </w:t>
      </w:r>
      <w:r>
        <w:rPr>
          <w:rFonts w:ascii="Arial" w:hAnsi="Arial"/>
          <w:b w:val="0"/>
          <w:i w:val="0"/>
          <w:color w:val="111111"/>
          <w:sz w:val="19"/>
        </w:rPr>
        <w:t>If Design-Builder fails to correct materially nonconforming Work after written notice and reasonable opportunity to cure, Owner may order affected Work stopped or may correct the default and deduct reasonable documented cost, subject to Design-Builder's right to dispute the action under Article 14.</w:t>
      </w:r>
    </w:p>
    <w:p>
      <w:pPr>
        <w:pStyle w:val="Heading1"/>
        <w:keepNext/>
      </w:pPr>
      <w:r>
        <w:rPr>
          <w:rFonts w:ascii="Arial" w:hAnsi="Arial"/>
          <w:b/>
          <w:i w:val="0"/>
          <w:color w:val="922E26"/>
          <w:sz w:val="27"/>
        </w:rPr>
        <w:t>ARTICLE 9  |  APPLICATIONS FOR PAYMENT AND PROJECT COMPLETION</w:t>
      </w:r>
    </w:p>
    <w:p>
      <w:pPr>
        <w:keepNext w:val="0"/>
        <w:keepLines/>
        <w:widowControl/>
        <w:spacing w:before="0" w:after="110" w:lineRule="auto" w:line="252"/>
      </w:pPr>
      <w:r>
        <w:rPr>
          <w:rFonts w:ascii="Arial" w:hAnsi="Arial"/>
          <w:b/>
          <w:i w:val="0"/>
          <w:color w:val="1F2937"/>
          <w:sz w:val="19"/>
        </w:rPr>
        <w:t xml:space="preserve">9.1  Schedule of Values.  </w:t>
      </w:r>
      <w:r>
        <w:rPr>
          <w:rFonts w:ascii="Arial" w:hAnsi="Arial"/>
          <w:b w:val="0"/>
          <w:i w:val="0"/>
          <w:color w:val="111111"/>
          <w:sz w:val="19"/>
        </w:rPr>
        <w:t>Before the first application for payment, Design-Builder shall submit a schedule of values allocating the entire Contract Sum among design, general conditions, overhead and profit, trade work, allowances, contingencies, and other components. The accepted schedule of values is the basis for progress billing and does not change the Contract Sum or scope.</w:t>
      </w:r>
    </w:p>
    <w:p>
      <w:pPr>
        <w:keepNext w:val="0"/>
        <w:keepLines/>
        <w:widowControl/>
        <w:spacing w:before="0" w:after="110" w:lineRule="auto" w:line="252"/>
      </w:pPr>
      <w:r>
        <w:rPr>
          <w:rFonts w:ascii="Arial" w:hAnsi="Arial"/>
          <w:b/>
          <w:i w:val="0"/>
          <w:color w:val="1F2937"/>
          <w:sz w:val="19"/>
        </w:rPr>
        <w:t xml:space="preserve">9.2  Applications for Payment.  </w:t>
      </w:r>
      <w:r>
        <w:rPr>
          <w:rFonts w:ascii="Arial" w:hAnsi="Arial"/>
          <w:b w:val="0"/>
          <w:i w:val="0"/>
          <w:color w:val="111111"/>
          <w:sz w:val="19"/>
        </w:rPr>
        <w:t>Design-Builder shall submit monthly applications showing the current schedule of values, percentage complete, eligible stored materials, approved Changes, allowance and contingency activity, retainage, previous payments, and amount due, together with the agreed supporting documentation. Owner shall timely pay all undisputed amounts.</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PAYMENT TIMING</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Application date or monthly cutoff</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review or certification period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Payment due after approval</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Late-payment interest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9.3  Payment Calculation.  </w:t>
      </w:r>
      <w:r>
        <w:rPr>
          <w:rFonts w:ascii="Arial" w:hAnsi="Arial"/>
          <w:b w:val="0"/>
          <w:i w:val="0"/>
          <w:color w:val="111111"/>
          <w:sz w:val="19"/>
        </w:rPr>
        <w:t>Progress payment is based on the percentage of completed design and construction Work and eligible stored materials, plus approved Changes and other amounts due, less previous payments, retainage, and properly withheld amounts. Payment does not constitute acceptance of nonconforming Work or transfer responsibility for means, methods, or lower-tier payment administration.</w:t>
      </w:r>
    </w:p>
    <w:p>
      <w:pPr>
        <w:keepNext w:val="0"/>
        <w:keepLines/>
        <w:widowControl/>
        <w:spacing w:before="0" w:after="110" w:lineRule="auto" w:line="252"/>
      </w:pPr>
      <w:r>
        <w:rPr>
          <w:rFonts w:ascii="Arial" w:hAnsi="Arial"/>
          <w:b/>
          <w:i w:val="0"/>
          <w:color w:val="1F2937"/>
          <w:sz w:val="19"/>
        </w:rPr>
        <w:t xml:space="preserve">9.4  Payment Support.  </w:t>
      </w:r>
      <w:r>
        <w:rPr>
          <w:rFonts w:ascii="Arial" w:hAnsi="Arial"/>
          <w:b w:val="0"/>
          <w:i w:val="0"/>
          <w:color w:val="111111"/>
          <w:sz w:val="19"/>
        </w:rPr>
        <w:t>Each application shall include the current schedule of values, progress information, approved Change log, allowance and contingency log, stored-material documentation, lien waivers required by the Contract or applicable law, and other agreed evidence. Actual-cost support is required only for time-and-material Changes, allowance reconciliation, or another amount expressly based on actual cost.</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PROJECT-SPECIFIC PAYMENT SUPPORT</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Additional lender or payment requirements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Special stored-material or lien-waiver requirements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9.5  Retainage.  </w:t>
      </w:r>
      <w:r>
        <w:rPr>
          <w:rFonts w:ascii="Arial" w:hAnsi="Arial"/>
          <w:b w:val="0"/>
          <w:i w:val="0"/>
          <w:color w:val="111111"/>
          <w:sz w:val="19"/>
        </w:rPr>
        <w:t>Retainage shall be calculated at the rate stated below, subject to mandatory law. The same rate applies to lower-tier construction work unless otherwise stated. Retainage may be withheld only from the portions of Work to which it applies and shall be released or reduced when the stated conditions are satisfied.</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RETAINAGE</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Construction retainage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Design-services retainage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Reduction, early release, or special treatment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9.6  Withholding.  </w:t>
      </w:r>
      <w:r>
        <w:rPr>
          <w:rFonts w:ascii="Arial" w:hAnsi="Arial"/>
          <w:b w:val="0"/>
          <w:i w:val="0"/>
          <w:color w:val="111111"/>
          <w:sz w:val="19"/>
        </w:rPr>
        <w:t>Owner may withhold only the amount reasonably necessary to protect against documented defective Work, third-party claims, failure to pay lower tiers, material schedule default, damage, or other material breach. Owner shall give prompt written reasons and shall release amounts when the basis is cured or adequate security is provided.</w:t>
      </w:r>
    </w:p>
    <w:p>
      <w:pPr>
        <w:keepNext w:val="0"/>
        <w:keepLines/>
        <w:widowControl/>
        <w:spacing w:before="0" w:after="110" w:lineRule="auto" w:line="252"/>
      </w:pPr>
      <w:r>
        <w:rPr>
          <w:rFonts w:ascii="Arial" w:hAnsi="Arial"/>
          <w:b/>
          <w:i w:val="0"/>
          <w:color w:val="1F2937"/>
          <w:sz w:val="19"/>
        </w:rPr>
        <w:t xml:space="preserve">9.7  Stored Materials.  </w:t>
      </w:r>
      <w:r>
        <w:rPr>
          <w:rFonts w:ascii="Arial" w:hAnsi="Arial"/>
          <w:b w:val="0"/>
          <w:i w:val="0"/>
          <w:color w:val="111111"/>
          <w:sz w:val="19"/>
        </w:rPr>
        <w:t>Payment for stored materials is allowed only when they are properly identified, insured, protected, segregated where practical, supported by evidence of title, and scheduled for timely delivery. Payment does not relieve Design-Builder of custody, protection, installation, or warranty responsibility.</w:t>
      </w:r>
    </w:p>
    <w:p>
      <w:pPr>
        <w:keepNext w:val="0"/>
        <w:keepLines/>
        <w:widowControl/>
        <w:spacing w:before="0" w:after="110" w:lineRule="auto" w:line="252"/>
      </w:pPr>
      <w:r>
        <w:rPr>
          <w:rFonts w:ascii="Arial" w:hAnsi="Arial"/>
          <w:b/>
          <w:i w:val="0"/>
          <w:color w:val="1F2937"/>
          <w:sz w:val="19"/>
        </w:rPr>
        <w:t xml:space="preserve">9.8  Substantial Completion.  </w:t>
      </w:r>
      <w:r>
        <w:rPr>
          <w:rFonts w:ascii="Arial" w:hAnsi="Arial"/>
          <w:b w:val="0"/>
          <w:i w:val="0"/>
          <w:color w:val="111111"/>
          <w:sz w:val="19"/>
        </w:rPr>
        <w:t>Substantial Completion occurs when the Work or designated portion is sufficiently complete for Owner's intended use and the prerequisites in Article 4 are satisfied. Design-Builder shall submit a completion list and proposed certificate allocating security, utilities, maintenance, insurance, warranties, incomplete Work, and the deadline for completion.</w:t>
      </w:r>
    </w:p>
    <w:p>
      <w:pPr>
        <w:keepNext w:val="0"/>
        <w:keepLines/>
        <w:widowControl/>
        <w:spacing w:before="0" w:after="110" w:lineRule="auto" w:line="252"/>
      </w:pPr>
      <w:r>
        <w:rPr>
          <w:rFonts w:ascii="Arial" w:hAnsi="Arial"/>
          <w:b/>
          <w:i w:val="0"/>
          <w:color w:val="1F2937"/>
          <w:sz w:val="19"/>
        </w:rPr>
        <w:t xml:space="preserve">9.9  Partial Occupancy.  </w:t>
      </w:r>
      <w:r>
        <w:rPr>
          <w:rFonts w:ascii="Arial" w:hAnsi="Arial"/>
          <w:b w:val="0"/>
          <w:i w:val="0"/>
          <w:color w:val="111111"/>
          <w:sz w:val="19"/>
        </w:rPr>
        <w:t>Owner may occupy a completed portion by written agreement establishing condition, safety, insurance, security, utilities, maintenance, warranties, remaining Work, and responsibility for interference. Partial occupancy does not constitute acceptance of nonconforming Work.</w:t>
      </w:r>
    </w:p>
    <w:p>
      <w:pPr>
        <w:keepNext w:val="0"/>
        <w:keepLines/>
        <w:widowControl/>
        <w:spacing w:before="0" w:after="110" w:lineRule="auto" w:line="252"/>
      </w:pPr>
      <w:r>
        <w:rPr>
          <w:rFonts w:ascii="Arial" w:hAnsi="Arial"/>
          <w:b/>
          <w:i w:val="0"/>
          <w:color w:val="1F2937"/>
          <w:sz w:val="19"/>
        </w:rPr>
        <w:t xml:space="preserve">9.10  Final Completion and Payment.  </w:t>
      </w:r>
      <w:r>
        <w:rPr>
          <w:rFonts w:ascii="Arial" w:hAnsi="Arial"/>
          <w:b w:val="0"/>
          <w:i w:val="0"/>
          <w:color w:val="111111"/>
          <w:sz w:val="19"/>
        </w:rPr>
        <w:t>Final Payment is due after Final Completion, delivery of required closeout, final lien documentation, consent of surety if applicable, and satisfaction of the other stated conditions. Final Payment does not waive latent defects, warranty obligations, fraud, or claims previously reserved in writing.</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FINAL PAYMENT</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Final Payment due after satisfaction of requirements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Additional Final Payment conditions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9.11  Nonpayment.  </w:t>
      </w:r>
      <w:r>
        <w:rPr>
          <w:rFonts w:ascii="Arial" w:hAnsi="Arial"/>
          <w:b w:val="0"/>
          <w:i w:val="0"/>
          <w:color w:val="111111"/>
          <w:sz w:val="19"/>
        </w:rPr>
        <w:t>After the applicable notice and cure period, Design-Builder may suspend affected Work for nonpayment of an undisputed amount and receive an adjustment for shutdown, delay, escalation, storage, demobilization, remobilization, and time, to the extent permitted by law.</w:t>
      </w:r>
    </w:p>
    <w:p>
      <w:pPr>
        <w:pStyle w:val="Heading1"/>
        <w:keepNext/>
      </w:pPr>
      <w:r>
        <w:rPr>
          <w:rFonts w:ascii="Arial" w:hAnsi="Arial"/>
          <w:b/>
          <w:i w:val="0"/>
          <w:color w:val="922E26"/>
          <w:sz w:val="27"/>
        </w:rPr>
        <w:t>ARTICLE 10  |  PROTECTION, INSURANCE, BONDS, AND INDEMNITY</w:t>
      </w:r>
    </w:p>
    <w:p>
      <w:pPr>
        <w:keepNext w:val="0"/>
        <w:keepLines/>
        <w:widowControl/>
        <w:spacing w:before="0" w:after="110" w:lineRule="auto" w:line="252"/>
      </w:pPr>
      <w:r>
        <w:rPr>
          <w:rFonts w:ascii="Arial" w:hAnsi="Arial"/>
          <w:b/>
          <w:i w:val="0"/>
          <w:color w:val="1F2937"/>
          <w:sz w:val="19"/>
        </w:rPr>
        <w:t xml:space="preserve">10.1  Safety.  </w:t>
      </w:r>
      <w:r>
        <w:rPr>
          <w:rFonts w:ascii="Arial" w:hAnsi="Arial"/>
          <w:b w:val="0"/>
          <w:i w:val="0"/>
          <w:color w:val="111111"/>
          <w:sz w:val="19"/>
        </w:rPr>
        <w:t>Design-Builder is responsible for its construction safety program and precautions and for protection of its workers, the Work, and adjacent property. Each Owner separate contractor remains responsible for its own safety and shall comply with site rules. Owner shall not direct unsafe Work or assume control of means and methods.</w:t>
      </w:r>
    </w:p>
    <w:p>
      <w:pPr>
        <w:keepNext w:val="0"/>
        <w:keepLines/>
        <w:widowControl/>
        <w:spacing w:before="0" w:after="110" w:lineRule="auto" w:line="252"/>
      </w:pPr>
      <w:r>
        <w:rPr>
          <w:rFonts w:ascii="Arial" w:hAnsi="Arial"/>
          <w:b/>
          <w:i w:val="0"/>
          <w:color w:val="1F2937"/>
          <w:sz w:val="19"/>
        </w:rPr>
        <w:t xml:space="preserve">10.2  Damage.  </w:t>
      </w:r>
      <w:r>
        <w:rPr>
          <w:rFonts w:ascii="Arial" w:hAnsi="Arial"/>
          <w:b w:val="0"/>
          <w:i w:val="0"/>
          <w:color w:val="111111"/>
          <w:sz w:val="19"/>
        </w:rPr>
        <w:t>Design-Builder shall promptly remedy damage caused by its operations, subject to required property insurance. Owner is responsible for damage caused by Owner, occupants, or separate contractors. Each party shall promptly report injury or property damage.</w:t>
      </w:r>
    </w:p>
    <w:p>
      <w:pPr>
        <w:keepNext w:val="0"/>
        <w:keepLines/>
        <w:widowControl/>
        <w:spacing w:before="0" w:after="110" w:lineRule="auto" w:line="252"/>
      </w:pPr>
      <w:r>
        <w:rPr>
          <w:rFonts w:ascii="Arial" w:hAnsi="Arial"/>
          <w:b/>
          <w:i w:val="0"/>
          <w:color w:val="1F2937"/>
          <w:sz w:val="19"/>
        </w:rPr>
        <w:t xml:space="preserve">10.3  Hazardous Materials.  </w:t>
      </w:r>
      <w:r>
        <w:rPr>
          <w:rFonts w:ascii="Arial" w:hAnsi="Arial"/>
          <w:b w:val="0"/>
          <w:i w:val="0"/>
          <w:color w:val="111111"/>
          <w:sz w:val="19"/>
        </w:rPr>
        <w:t>Unless expressly included, Design-Builder is not responsible for testing, design, removal, transport, or remediation of preexisting hazardous materials. On discovery, affected Work may stop until a qualified party addresses the condition. Owner is responsible for resulting cost and time unless Design-Builder introduced the material through its negligent act.</w:t>
      </w:r>
    </w:p>
    <w:p>
      <w:pPr>
        <w:keepNext w:val="0"/>
        <w:keepLines/>
        <w:widowControl/>
        <w:spacing w:before="0" w:after="110" w:lineRule="auto" w:line="252"/>
      </w:pPr>
      <w:r>
        <w:rPr>
          <w:rFonts w:ascii="Arial" w:hAnsi="Arial"/>
          <w:b/>
          <w:i w:val="0"/>
          <w:color w:val="1F2937"/>
          <w:sz w:val="19"/>
        </w:rPr>
        <w:t xml:space="preserve">10.4  Emergencies.  </w:t>
      </w:r>
      <w:r>
        <w:rPr>
          <w:rFonts w:ascii="Arial" w:hAnsi="Arial"/>
          <w:b w:val="0"/>
          <w:i w:val="0"/>
          <w:color w:val="111111"/>
          <w:sz w:val="19"/>
        </w:rPr>
        <w:t>In an emergency affecting safety, Design-Builder shall act reasonably to prevent threatened injury, damage, or loss and shall notify Owner promptly. Resulting cost and time are governed by Article 7.</w:t>
      </w:r>
    </w:p>
    <w:p>
      <w:pPr>
        <w:keepNext w:val="0"/>
        <w:keepLines/>
        <w:widowControl/>
        <w:spacing w:before="0" w:after="110" w:lineRule="auto" w:line="252"/>
      </w:pPr>
      <w:r>
        <w:rPr>
          <w:rFonts w:ascii="Arial" w:hAnsi="Arial"/>
          <w:b/>
          <w:i w:val="0"/>
          <w:color w:val="1F2937"/>
          <w:sz w:val="19"/>
        </w:rPr>
        <w:t xml:space="preserve">10.5  Construction Insurance and Bonds.  </w:t>
      </w:r>
      <w:r>
        <w:rPr>
          <w:rFonts w:ascii="Arial" w:hAnsi="Arial"/>
          <w:b w:val="0"/>
          <w:i w:val="0"/>
          <w:color w:val="111111"/>
          <w:sz w:val="19"/>
        </w:rPr>
        <w:t>Before the related exposure begins, the parties shall provide the following insurance, builder's risk, and bonds. Policy terms and endorsements control over certificates, and no certificate expands coverage.</w:t>
      </w:r>
    </w:p>
    <w:tbl>
      <w:tblPr>
        <w:tblW w:type="dxa" w:w="9360"/>
        <w:jc w:val="left"/>
        <w:tblLayout w:type="fixed"/>
        <w:tblLook w:firstColumn="1" w:firstRow="1" w:lastColumn="0" w:lastRow="0" w:noHBand="0" w:noVBand="1" w:val="04A0"/>
        <w:tblInd w:w="120" w:type="dxa"/>
      </w:tblPr>
      <w:tblGrid>
        <w:gridCol w:w="2448"/>
        <w:gridCol w:w="2088"/>
        <w:gridCol w:w="1656"/>
        <w:gridCol w:w="3168"/>
      </w:tblGrid>
      <w:tr>
        <w:trPr>
          <w:trHeight w:hRule="atLeast"/>
          <w:tblHeader w:val="true"/>
        </w:trPr>
        <w:tc>
          <w:tcPr>
            <w:tcW w:type="dxa" w:w="244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Coverage</w:t>
            </w:r>
          </w:p>
        </w:tc>
        <w:tc>
          <w:tcPr>
            <w:tcW w:type="dxa" w:w="208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Each occurrence / claim</w:t>
            </w:r>
          </w:p>
        </w:tc>
        <w:tc>
          <w:tcPr>
            <w:tcW w:type="dxa" w:w="165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Aggregate</w:t>
            </w:r>
          </w:p>
        </w:tc>
        <w:tc>
          <w:tcPr>
            <w:tcW w:type="dxa" w:w="316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Endorsements / completed operations</w:t>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Workers' compensation</w:t>
            </w:r>
          </w:p>
        </w:tc>
        <w:tc>
          <w:tcPr>
            <w:tcW w:type="dxa" w:w="208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Statutory</w:t>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Employers' liability</w:t>
            </w:r>
          </w:p>
        </w:tc>
        <w:tc>
          <w:tcPr>
            <w:tcW w:type="dxa" w:w="20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Commercial general liability</w:t>
            </w:r>
          </w:p>
        </w:tc>
        <w:tc>
          <w:tcPr>
            <w:tcW w:type="dxa" w:w="20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Automobile liability</w:t>
            </w:r>
          </w:p>
        </w:tc>
        <w:tc>
          <w:tcPr>
            <w:tcW w:type="dxa" w:w="20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Umbrella / excess liability</w:t>
            </w:r>
          </w:p>
        </w:tc>
        <w:tc>
          <w:tcPr>
            <w:tcW w:type="dxa" w:w="20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Professional liability</w:t>
            </w:r>
          </w:p>
        </w:tc>
        <w:tc>
          <w:tcPr>
            <w:tcW w:type="dxa" w:w="20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Contractor's pollution liability, if required</w:t>
            </w:r>
          </w:p>
        </w:tc>
        <w:tc>
          <w:tcPr>
            <w:tcW w:type="dxa" w:w="208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16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PROPERTY INSURANCE AND BONDS</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Builder's risk purchaser and coverage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Deductible allocation and waiver of subrogation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Performance and payment bonds</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Bond premium treatment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10.6  Indemnification.  </w:t>
      </w:r>
      <w:r>
        <w:rPr>
          <w:rFonts w:ascii="Arial" w:hAnsi="Arial"/>
          <w:b w:val="0"/>
          <w:i w:val="0"/>
          <w:color w:val="111111"/>
          <w:sz w:val="19"/>
        </w:rPr>
        <w:t>To the fullest extent permitted by law, Design-Builder shall indemnify Owner from third-party claims for bodily injury or tangible property damage, but only to the extent caused by the negligent acts or omissions of Design-Builder or those for whom it is responsible. Owner shall indemnify Design-Builder on the same basis for the negligent acts or omissions of Owner or Owner's separate contractors. No party is required to indemnify another for the indemnitee's own negligence where prohibited by law.</w:t>
      </w:r>
    </w:p>
    <w:p>
      <w:pPr>
        <w:pStyle w:val="Heading1"/>
        <w:keepNext/>
      </w:pPr>
      <w:r>
        <w:rPr>
          <w:rFonts w:ascii="Arial" w:hAnsi="Arial"/>
          <w:b/>
          <w:i w:val="0"/>
          <w:color w:val="922E26"/>
          <w:sz w:val="27"/>
        </w:rPr>
        <w:t>ARTICLE 11  |  UNCOVERING, CORRECTION, AND WARRANTY</w:t>
      </w:r>
    </w:p>
    <w:p>
      <w:pPr>
        <w:keepNext w:val="0"/>
        <w:keepLines/>
        <w:widowControl/>
        <w:spacing w:before="0" w:after="110" w:lineRule="auto" w:line="252"/>
      </w:pPr>
      <w:r>
        <w:rPr>
          <w:rFonts w:ascii="Arial" w:hAnsi="Arial"/>
          <w:b/>
          <w:i w:val="0"/>
          <w:color w:val="1F2937"/>
          <w:sz w:val="19"/>
        </w:rPr>
        <w:t xml:space="preserve">11.1  Uncovering.  </w:t>
      </w:r>
      <w:r>
        <w:rPr>
          <w:rFonts w:ascii="Arial" w:hAnsi="Arial"/>
          <w:b w:val="0"/>
          <w:i w:val="0"/>
          <w:color w:val="111111"/>
          <w:sz w:val="19"/>
        </w:rPr>
        <w:t>If Work is covered contrary to a required inspection or written direction, Design-Builder shall uncover and replace it without adjustment. If properly covered Work is directed to be uncovered and is conforming, the resulting cost and time are a Change; if nonconforming, Design-Builder bears the reasonable cost.</w:t>
      </w:r>
    </w:p>
    <w:p>
      <w:pPr>
        <w:keepNext w:val="0"/>
        <w:keepLines/>
        <w:widowControl/>
        <w:spacing w:before="0" w:after="110" w:lineRule="auto" w:line="252"/>
      </w:pPr>
      <w:r>
        <w:rPr>
          <w:rFonts w:ascii="Arial" w:hAnsi="Arial"/>
          <w:b/>
          <w:i w:val="0"/>
          <w:color w:val="1F2937"/>
          <w:sz w:val="19"/>
        </w:rPr>
        <w:t xml:space="preserve">11.2  Correction Before and After Substantial Completion.  </w:t>
      </w:r>
      <w:r>
        <w:rPr>
          <w:rFonts w:ascii="Arial" w:hAnsi="Arial"/>
          <w:b w:val="0"/>
          <w:i w:val="0"/>
          <w:color w:val="111111"/>
          <w:sz w:val="19"/>
        </w:rPr>
        <w:t>Design-Builder shall promptly correct rejected or nonconforming Work, whether discovered before or after Substantial Completion, and shall bear resulting damage to other included Work. Owner shall provide reasonable access for correction.</w:t>
      </w:r>
    </w:p>
    <w:p>
      <w:pPr>
        <w:keepNext w:val="0"/>
        <w:keepLines/>
        <w:widowControl/>
        <w:spacing w:before="0" w:after="110" w:lineRule="auto" w:line="252"/>
      </w:pPr>
      <w:r>
        <w:rPr>
          <w:rFonts w:ascii="Arial" w:hAnsi="Arial"/>
          <w:b/>
          <w:i w:val="0"/>
          <w:color w:val="1F2937"/>
          <w:sz w:val="19"/>
        </w:rPr>
        <w:t xml:space="preserve">11.3  Correction Period.  </w:t>
      </w:r>
      <w:r>
        <w:rPr>
          <w:rFonts w:ascii="Arial" w:hAnsi="Arial"/>
          <w:b w:val="0"/>
          <w:i w:val="0"/>
          <w:color w:val="111111"/>
          <w:sz w:val="19"/>
        </w:rPr>
        <w:t>For one year after Substantial Completion, or the longer period stated in a specific warranty, Design-Builder shall correct construction that does not conform to the Contract Documents after written notice. The obligation excludes ordinary wear, abuse, improper maintenance or operation, and unauthorized modification.</w:t>
      </w:r>
    </w:p>
    <w:p>
      <w:pPr>
        <w:keepNext w:val="0"/>
        <w:keepLines/>
        <w:widowControl/>
        <w:spacing w:before="0" w:after="110" w:lineRule="auto" w:line="252"/>
      </w:pPr>
      <w:r>
        <w:rPr>
          <w:rFonts w:ascii="Arial" w:hAnsi="Arial"/>
          <w:b/>
          <w:i w:val="0"/>
          <w:color w:val="1F2937"/>
          <w:sz w:val="19"/>
        </w:rPr>
        <w:t xml:space="preserve">11.4  Construction Warranty.  </w:t>
      </w:r>
      <w:r>
        <w:rPr>
          <w:rFonts w:ascii="Arial" w:hAnsi="Arial"/>
          <w:b w:val="0"/>
          <w:i w:val="0"/>
          <w:color w:val="111111"/>
          <w:sz w:val="19"/>
        </w:rPr>
        <w:t>Design-Builder warrants that construction materials and equipment will be new unless otherwise permitted, of good quality, and free from material defects not inherent in the specified quality, and that construction will conform to the Contract Documents. Professional services are governed by the professional standard of care rather than this construction warranty.</w:t>
      </w:r>
    </w:p>
    <w:p>
      <w:pPr>
        <w:keepNext w:val="0"/>
        <w:keepLines/>
        <w:widowControl/>
        <w:spacing w:before="0" w:after="110" w:lineRule="auto" w:line="252"/>
      </w:pPr>
      <w:r>
        <w:rPr>
          <w:rFonts w:ascii="Arial" w:hAnsi="Arial"/>
          <w:b/>
          <w:i w:val="0"/>
          <w:color w:val="1F2937"/>
          <w:sz w:val="19"/>
        </w:rPr>
        <w:t xml:space="preserve">11.5  Acceptance of Nonconforming Work.  </w:t>
      </w:r>
      <w:r>
        <w:rPr>
          <w:rFonts w:ascii="Arial" w:hAnsi="Arial"/>
          <w:b w:val="0"/>
          <w:i w:val="0"/>
          <w:color w:val="111111"/>
          <w:sz w:val="19"/>
        </w:rPr>
        <w:t>Owner may accept nonconforming Work by written agreement stating an appropriate reduction in the Contract Sum and any effect on warranty, operation, maintenance, or future replacement.</w:t>
      </w:r>
    </w:p>
    <w:p>
      <w:pPr>
        <w:pStyle w:val="Heading1"/>
        <w:keepNext/>
      </w:pPr>
      <w:r>
        <w:rPr>
          <w:rFonts w:ascii="Arial" w:hAnsi="Arial"/>
          <w:b/>
          <w:i w:val="0"/>
          <w:color w:val="922E26"/>
          <w:sz w:val="27"/>
        </w:rPr>
        <w:t>ARTICLE 12  |  INSTRUMENTS OF SERVICE AND LICENSES</w:t>
      </w:r>
    </w:p>
    <w:p>
      <w:pPr>
        <w:keepNext w:val="0"/>
        <w:keepLines/>
        <w:widowControl/>
        <w:spacing w:before="0" w:after="110" w:lineRule="auto" w:line="252"/>
      </w:pPr>
      <w:r>
        <w:rPr>
          <w:rFonts w:ascii="Arial" w:hAnsi="Arial"/>
          <w:b/>
          <w:i w:val="0"/>
          <w:color w:val="1F2937"/>
          <w:sz w:val="19"/>
        </w:rPr>
        <w:t xml:space="preserve">12.1  Ownership.  </w:t>
      </w:r>
      <w:r>
        <w:rPr>
          <w:rFonts w:ascii="Arial" w:hAnsi="Arial"/>
          <w:b w:val="0"/>
          <w:i w:val="0"/>
          <w:color w:val="111111"/>
          <w:sz w:val="19"/>
        </w:rPr>
        <w:t>Design-Builder, Design Professionals, consultants, and specialty designers retain their copyrights and reserved rights in their respective Instruments of Service. Submission for Owner review, permitting, pricing, or construction does not transfer authorship.</w:t>
      </w:r>
    </w:p>
    <w:p>
      <w:pPr>
        <w:keepNext w:val="0"/>
        <w:keepLines/>
        <w:widowControl/>
        <w:spacing w:before="0" w:after="110" w:lineRule="auto" w:line="252"/>
      </w:pPr>
      <w:r>
        <w:rPr>
          <w:rFonts w:ascii="Arial" w:hAnsi="Arial"/>
          <w:b/>
          <w:i w:val="0"/>
          <w:color w:val="1F2937"/>
          <w:sz w:val="19"/>
        </w:rPr>
        <w:t xml:space="preserve">12.2  Project License.  </w:t>
      </w:r>
      <w:r>
        <w:rPr>
          <w:rFonts w:ascii="Arial" w:hAnsi="Arial"/>
          <w:b w:val="0"/>
          <w:i w:val="0"/>
          <w:color w:val="111111"/>
          <w:sz w:val="19"/>
        </w:rPr>
        <w:t>Upon payment of amounts due for the applicable Instruments of Service, Owner receives a nonexclusive license to use them solely to construct, occupy, operate, maintain, repair, alter, and add to this Project. The license includes use by Owner's consultants and contractors for those Project purposes.</w:t>
      </w:r>
    </w:p>
    <w:p>
      <w:pPr>
        <w:keepNext w:val="0"/>
        <w:keepLines/>
        <w:widowControl/>
        <w:spacing w:before="0" w:after="110" w:lineRule="auto" w:line="252"/>
      </w:pPr>
      <w:r>
        <w:rPr>
          <w:rFonts w:ascii="Arial" w:hAnsi="Arial"/>
          <w:b/>
          <w:i w:val="0"/>
          <w:color w:val="1F2937"/>
          <w:sz w:val="19"/>
        </w:rPr>
        <w:t xml:space="preserve">12.3  Reuse and Modification.  </w:t>
      </w:r>
      <w:r>
        <w:rPr>
          <w:rFonts w:ascii="Arial" w:hAnsi="Arial"/>
          <w:b w:val="0"/>
          <w:i w:val="0"/>
          <w:color w:val="111111"/>
          <w:sz w:val="19"/>
        </w:rPr>
        <w:t>Owner assumes the risk arising from reuse on another project or modification without the responsible professional, except to the extent caused by an original error or omission. Native files and models are governed by any listed digital-data protocol.</w:t>
      </w:r>
    </w:p>
    <w:p>
      <w:pPr>
        <w:pStyle w:val="Heading1"/>
        <w:keepNext/>
      </w:pPr>
      <w:r>
        <w:rPr>
          <w:rFonts w:ascii="Arial" w:hAnsi="Arial"/>
          <w:b/>
          <w:i w:val="0"/>
          <w:color w:val="922E26"/>
          <w:sz w:val="27"/>
        </w:rPr>
        <w:t>ARTICLE 13  |  SUSPENSION AND TERMINATION</w:t>
      </w:r>
    </w:p>
    <w:p>
      <w:pPr>
        <w:keepNext w:val="0"/>
        <w:keepLines/>
        <w:widowControl/>
        <w:spacing w:before="0" w:after="110" w:lineRule="auto" w:line="252"/>
      </w:pPr>
      <w:r>
        <w:rPr>
          <w:rFonts w:ascii="Arial" w:hAnsi="Arial"/>
          <w:b/>
          <w:i w:val="0"/>
          <w:color w:val="1F2937"/>
          <w:sz w:val="19"/>
        </w:rPr>
        <w:t xml:space="preserve">13.1  Owner Suspension.  </w:t>
      </w:r>
      <w:r>
        <w:rPr>
          <w:rFonts w:ascii="Arial" w:hAnsi="Arial"/>
          <w:b w:val="0"/>
          <w:i w:val="0"/>
          <w:color w:val="111111"/>
          <w:sz w:val="19"/>
        </w:rPr>
        <w:t>Owner may suspend all or part of the Work by written notice. Design-Builder is entitled to an equitable adjustment for protection, delay, escalation, storage, demobilization, remobilization, extended general conditions, and schedule effect unless the suspension results from Design-Builder's uncured material breach.</w:t>
      </w:r>
    </w:p>
    <w:p>
      <w:pPr>
        <w:keepNext w:val="0"/>
        <w:keepLines/>
        <w:widowControl/>
        <w:spacing w:before="0" w:after="110" w:lineRule="auto" w:line="252"/>
      </w:pPr>
      <w:r>
        <w:rPr>
          <w:rFonts w:ascii="Arial" w:hAnsi="Arial"/>
          <w:b/>
          <w:i w:val="0"/>
          <w:color w:val="1F2937"/>
          <w:sz w:val="19"/>
        </w:rPr>
        <w:t xml:space="preserve">13.2  Design-Builder Suspension or Termination.  </w:t>
      </w:r>
      <w:r>
        <w:rPr>
          <w:rFonts w:ascii="Arial" w:hAnsi="Arial"/>
          <w:b w:val="0"/>
          <w:i w:val="0"/>
          <w:color w:val="111111"/>
          <w:sz w:val="19"/>
        </w:rPr>
        <w:t>Design-Builder may suspend or terminate for prolonged stoppage beyond its control, nonpayment, failure to provide required financing evidence or insurance, denial of access, unsafe conditions outside its control, or other material Owner breach, after the notice and cure periods stated below or required by law.</w:t>
      </w:r>
    </w:p>
    <w:p>
      <w:pPr>
        <w:keepNext w:val="0"/>
        <w:keepLines/>
        <w:widowControl/>
        <w:spacing w:before="0" w:after="110" w:lineRule="auto" w:line="252"/>
      </w:pPr>
      <w:r>
        <w:rPr>
          <w:rFonts w:ascii="Arial" w:hAnsi="Arial"/>
          <w:b/>
          <w:i w:val="0"/>
          <w:color w:val="1F2937"/>
          <w:sz w:val="19"/>
        </w:rPr>
        <w:t xml:space="preserve">13.3  Owner Termination for Cause.  </w:t>
      </w:r>
      <w:r>
        <w:rPr>
          <w:rFonts w:ascii="Arial" w:hAnsi="Arial"/>
          <w:b w:val="0"/>
          <w:i w:val="0"/>
          <w:color w:val="111111"/>
          <w:sz w:val="19"/>
        </w:rPr>
        <w:t>Owner may terminate for Design-Builder's material breach after written notice describing the default and reasonable opportunity to cure. Owner may take possession of the site and accept contingent assignments. If completion cost and damages exceed the unpaid Contract balance, Design-Builder is responsible for the excess to the extent established under the Contract; if the unpaid balance exceeds those amounts, Owner shall pay the difference.</w:t>
      </w:r>
    </w:p>
    <w:p>
      <w:pPr>
        <w:keepNext w:val="0"/>
        <w:keepLines/>
        <w:widowControl/>
        <w:spacing w:before="0" w:after="110" w:lineRule="auto" w:line="252"/>
      </w:pPr>
      <w:r>
        <w:rPr>
          <w:rFonts w:ascii="Arial" w:hAnsi="Arial"/>
          <w:b/>
          <w:i w:val="0"/>
          <w:color w:val="1F2937"/>
          <w:sz w:val="19"/>
        </w:rPr>
        <w:t xml:space="preserve">13.4  Owner Termination for Convenience.  </w:t>
      </w:r>
      <w:r>
        <w:rPr>
          <w:rFonts w:ascii="Arial" w:hAnsi="Arial"/>
          <w:b w:val="0"/>
          <w:i w:val="0"/>
          <w:color w:val="111111"/>
          <w:sz w:val="19"/>
        </w:rPr>
        <w:t>Owner may terminate without cause by written notice. Design-Builder shall stop as directed, protect the Work, terminate commitments where prudent, and deliver paid-for Project records. Owner shall pay for Work performed, properly incurred or committed cost, cancellation, protection, demobilization, overhead and profit earned on performed Work, and the termination amount stated below.</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SUSPENSION AND TERMINATION TERMS</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TERM</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Nonpayment notice and cure period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Other material-breach notice and cure period</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Termination-for-convenience fee or calculation</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pStyle w:val="Heading1"/>
        <w:keepNext/>
      </w:pPr>
      <w:r>
        <w:rPr>
          <w:rFonts w:ascii="Arial" w:hAnsi="Arial"/>
          <w:b/>
          <w:i w:val="0"/>
          <w:color w:val="922E26"/>
          <w:sz w:val="27"/>
        </w:rPr>
        <w:t>ARTICLE 14  |  CLAIMS AND DISPUTE RESOLUTION</w:t>
      </w:r>
    </w:p>
    <w:p>
      <w:pPr>
        <w:keepNext w:val="0"/>
        <w:keepLines/>
        <w:widowControl/>
        <w:spacing w:before="0" w:after="110" w:lineRule="auto" w:line="252"/>
      </w:pPr>
      <w:r>
        <w:rPr>
          <w:rFonts w:ascii="Arial" w:hAnsi="Arial"/>
          <w:b/>
          <w:i w:val="0"/>
          <w:color w:val="1F2937"/>
          <w:sz w:val="19"/>
        </w:rPr>
        <w:t xml:space="preserve">14.1  Claims.  </w:t>
      </w:r>
      <w:r>
        <w:rPr>
          <w:rFonts w:ascii="Arial" w:hAnsi="Arial"/>
          <w:b w:val="0"/>
          <w:i w:val="0"/>
          <w:color w:val="111111"/>
          <w:sz w:val="19"/>
        </w:rPr>
        <w:t>A Claim is a written demand seeking payment, time, interpretation, or other relief under the Contract. The claimant shall provide prompt notice describing the event, known facts, requested relief, and available support and shall update ongoing cost and time effects.</w:t>
      </w:r>
    </w:p>
    <w:p>
      <w:pPr>
        <w:keepNext w:val="0"/>
        <w:keepLines/>
        <w:widowControl/>
        <w:spacing w:before="0" w:after="110" w:lineRule="auto" w:line="252"/>
      </w:pPr>
      <w:r>
        <w:rPr>
          <w:rFonts w:ascii="Arial" w:hAnsi="Arial"/>
          <w:b/>
          <w:i w:val="0"/>
          <w:color w:val="1F2937"/>
          <w:sz w:val="19"/>
        </w:rPr>
        <w:t xml:space="preserve">14.2  Continued Performance.  </w:t>
      </w:r>
      <w:r>
        <w:rPr>
          <w:rFonts w:ascii="Arial" w:hAnsi="Arial"/>
          <w:b w:val="0"/>
          <w:i w:val="0"/>
          <w:color w:val="111111"/>
          <w:sz w:val="19"/>
        </w:rPr>
        <w:t>Pending resolution, Design-Builder shall continue undisputed Work and Owner shall pay undisputed amounts unless the Contract has been properly suspended or terminated or continued performance would be unsafe or unlawful.</w:t>
      </w:r>
    </w:p>
    <w:p>
      <w:pPr>
        <w:keepNext w:val="0"/>
        <w:keepLines/>
        <w:widowControl/>
        <w:spacing w:before="0" w:after="110" w:lineRule="auto" w:line="252"/>
      </w:pPr>
      <w:r>
        <w:rPr>
          <w:rFonts w:ascii="Arial" w:hAnsi="Arial"/>
          <w:b/>
          <w:i w:val="0"/>
          <w:color w:val="1F2937"/>
          <w:sz w:val="19"/>
        </w:rPr>
        <w:t xml:space="preserve">14.3  Initial Resolution.  </w:t>
      </w:r>
      <w:r>
        <w:rPr>
          <w:rFonts w:ascii="Arial" w:hAnsi="Arial"/>
          <w:b w:val="0"/>
          <w:i w:val="0"/>
          <w:color w:val="111111"/>
          <w:sz w:val="19"/>
        </w:rPr>
        <w:t>Project representatives shall first attempt resolution. If unsuccessful, an executive of each party with settlement authority shall meet promptly and exchange information reasonably necessary to evaluate the Claim.</w:t>
      </w:r>
    </w:p>
    <w:p>
      <w:pPr>
        <w:keepNext w:val="0"/>
        <w:keepLines/>
        <w:widowControl/>
        <w:spacing w:before="0" w:after="110" w:lineRule="auto" w:line="252"/>
      </w:pPr>
      <w:r>
        <w:rPr>
          <w:rFonts w:ascii="Arial" w:hAnsi="Arial"/>
          <w:b/>
          <w:i w:val="0"/>
          <w:color w:val="1F2937"/>
          <w:sz w:val="19"/>
        </w:rPr>
        <w:t xml:space="preserve">14.4  Mediation.  </w:t>
      </w:r>
      <w:r>
        <w:rPr>
          <w:rFonts w:ascii="Arial" w:hAnsi="Arial"/>
          <w:b w:val="0"/>
          <w:i w:val="0"/>
          <w:color w:val="111111"/>
          <w:sz w:val="19"/>
        </w:rPr>
        <w:t>As a condition precedent to binding dispute resolution, the parties shall attempt nonbinding mediation under the provider and location stated in Article 1. Either party may preserve a lien, bond, limitations, emergency, or provisional remedy without waiving mediation.</w:t>
      </w:r>
    </w:p>
    <w:p>
      <w:pPr>
        <w:keepNext w:val="0"/>
        <w:keepLines/>
        <w:widowControl/>
        <w:spacing w:before="0" w:after="110" w:lineRule="auto" w:line="252"/>
      </w:pPr>
      <w:r>
        <w:rPr>
          <w:rFonts w:ascii="Arial" w:hAnsi="Arial"/>
          <w:b/>
          <w:i w:val="0"/>
          <w:color w:val="1F2937"/>
          <w:sz w:val="19"/>
        </w:rPr>
        <w:t xml:space="preserve">14.5  Binding Resolution.  </w:t>
      </w:r>
      <w:r>
        <w:rPr>
          <w:rFonts w:ascii="Arial" w:hAnsi="Arial"/>
          <w:b w:val="0"/>
          <w:i w:val="0"/>
          <w:color w:val="111111"/>
          <w:sz w:val="19"/>
        </w:rPr>
        <w:t>Unresolved disputes shall be resolved by the selected method. Any arbitration election shall identify governing rules, number of arbitrators, and consolidation or joinder provisions. If no method is selected, litigation in a court of competent jurisdiction applies.</w:t>
      </w:r>
    </w:p>
    <w:p>
      <w:pPr>
        <w:keepNext w:val="0"/>
        <w:keepLines/>
        <w:widowControl/>
        <w:spacing w:before="0" w:after="110" w:lineRule="auto" w:line="252"/>
      </w:pPr>
      <w:r>
        <w:rPr>
          <w:rFonts w:ascii="Arial" w:hAnsi="Arial"/>
          <w:b/>
          <w:i w:val="0"/>
          <w:color w:val="1F2937"/>
          <w:sz w:val="19"/>
        </w:rPr>
        <w:t xml:space="preserve">14.6  Consequential Damages.  </w:t>
      </w:r>
      <w:r>
        <w:rPr>
          <w:rFonts w:ascii="Arial" w:hAnsi="Arial"/>
          <w:b w:val="0"/>
          <w:i w:val="0"/>
          <w:color w:val="111111"/>
          <w:sz w:val="19"/>
        </w:rPr>
        <w:t>To the fullest extent permitted by law, Owner and Design-Builder waive consequential, indirect, incidental, exemplary, and punitive damages arising from the Project, including loss of use, financing, business, reputation, and profit not earned directly under the Contract. The waiver does not apply to fraud, willful misconduct, covered third-party indemnity, or liquidated damages expressly stated in Article 3.</w:t>
      </w:r>
    </w:p>
    <w:p>
      <w:pPr>
        <w:pStyle w:val="Heading1"/>
        <w:keepNext/>
      </w:pPr>
      <w:r>
        <w:rPr>
          <w:rFonts w:ascii="Arial" w:hAnsi="Arial"/>
          <w:b/>
          <w:i w:val="0"/>
          <w:color w:val="922E26"/>
          <w:sz w:val="27"/>
        </w:rPr>
        <w:t>ARTICLE 15  |  MISCELLANEOUS PROVISIONS</w:t>
      </w:r>
    </w:p>
    <w:p>
      <w:pPr>
        <w:keepNext w:val="0"/>
        <w:keepLines/>
        <w:widowControl/>
        <w:spacing w:before="0" w:after="110" w:lineRule="auto" w:line="252"/>
      </w:pPr>
      <w:r>
        <w:rPr>
          <w:rFonts w:ascii="Arial" w:hAnsi="Arial"/>
          <w:b/>
          <w:i w:val="0"/>
          <w:color w:val="1F2937"/>
          <w:sz w:val="19"/>
        </w:rPr>
        <w:t xml:space="preserve">15.1  Governing Law.  </w:t>
      </w:r>
      <w:r>
        <w:rPr>
          <w:rFonts w:ascii="Arial" w:hAnsi="Arial"/>
          <w:b w:val="0"/>
          <w:i w:val="0"/>
          <w:color w:val="111111"/>
          <w:sz w:val="19"/>
        </w:rPr>
        <w:t>The Contract is governed by the law of the Project location unless another law is stated below, subject to mandatory law that cannot be varied.</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LEGAL TERM</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ELECTION</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Governing law</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Venue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keepLines/>
        <w:widowControl/>
        <w:spacing w:before="0" w:after="110" w:lineRule="auto" w:line="252"/>
      </w:pPr>
      <w:r>
        <w:rPr>
          <w:rFonts w:ascii="Arial" w:hAnsi="Arial"/>
          <w:b/>
          <w:i w:val="0"/>
          <w:color w:val="1F2937"/>
          <w:sz w:val="19"/>
        </w:rPr>
        <w:t xml:space="preserve">15.2  Notices.  </w:t>
      </w:r>
      <w:r>
        <w:rPr>
          <w:rFonts w:ascii="Arial" w:hAnsi="Arial"/>
          <w:b w:val="0"/>
          <w:i w:val="0"/>
          <w:color w:val="111111"/>
          <w:sz w:val="19"/>
        </w:rPr>
        <w:t>Formal notices shall be delivered to the addresses and emails below by personal delivery, nationally recognized overnight carrier, certified mail, or email with confirmed transmission, subject to any method required by law. Routine Project communication may use the agreed electronic platform.</w:t>
      </w:r>
    </w:p>
    <w:tbl>
      <w:tblPr>
        <w:tblW w:type="dxa" w:w="9360"/>
        <w:jc w:val="left"/>
        <w:tblLayout w:type="fixed"/>
        <w:tblLook w:firstColumn="1" w:firstRow="1" w:lastColumn="0" w:lastRow="0" w:noHBand="0" w:noVBand="1" w:val="04A0"/>
        <w:tblInd w:w="120" w:type="dxa"/>
      </w:tblPr>
      <w:tblGrid>
        <w:gridCol w:w="1440"/>
        <w:gridCol w:w="2016"/>
        <w:gridCol w:w="2160"/>
        <w:gridCol w:w="3744"/>
      </w:tblGrid>
      <w:tr>
        <w:trPr>
          <w:trHeight w:hRule="atLeast"/>
          <w:tblHeader w:val="true"/>
        </w:trPr>
        <w:tc>
          <w:tcPr>
            <w:tcW w:type="dxa" w:w="144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Party</w:t>
            </w:r>
          </w:p>
        </w:tc>
        <w:tc>
          <w:tcPr>
            <w:tcW w:type="dxa" w:w="201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Recipient</w:t>
            </w:r>
          </w:p>
        </w:tc>
        <w:tc>
          <w:tcPr>
            <w:tcW w:type="dxa" w:w="216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Email</w:t>
            </w:r>
          </w:p>
        </w:tc>
        <w:tc>
          <w:tcPr>
            <w:tcW w:type="dxa" w:w="374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Delivery address</w:t>
            </w:r>
          </w:p>
        </w:tc>
      </w:tr>
      <w:tr>
        <w:trPr>
          <w:cantSplit/>
          <w:trHeight w:hRule="atLeast"/>
        </w:trPr>
        <w:tc>
          <w:tcPr>
            <w:tcW w:type="dxa" w:w="14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Owner</w:t>
            </w:r>
          </w:p>
        </w:tc>
        <w:tc>
          <w:tcPr>
            <w:tcW w:type="dxa" w:w="201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16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744"/>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440"/>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Design-Builder</w:t>
            </w:r>
          </w:p>
        </w:tc>
        <w:tc>
          <w:tcPr>
            <w:tcW w:type="dxa" w:w="201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16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744"/>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Mefford Contracting, LLC, 1585 Mercer Road, Suite 110, Lexington, KY 40511</w:t>
            </w:r>
          </w:p>
        </w:tc>
      </w:tr>
    </w:tbl>
    <w:p>
      <w:pPr>
        <w:spacing w:after="40"/>
      </w:pPr>
    </w:p>
    <w:p>
      <w:pPr>
        <w:keepNext w:val="0"/>
        <w:keepLines/>
        <w:widowControl/>
        <w:spacing w:before="0" w:after="110" w:lineRule="auto" w:line="252"/>
      </w:pPr>
      <w:r>
        <w:rPr>
          <w:rFonts w:ascii="Arial" w:hAnsi="Arial"/>
          <w:b/>
          <w:i w:val="0"/>
          <w:color w:val="1F2937"/>
          <w:sz w:val="19"/>
        </w:rPr>
        <w:t xml:space="preserve">15.3  Assignment.  </w:t>
      </w:r>
      <w:r>
        <w:rPr>
          <w:rFonts w:ascii="Arial" w:hAnsi="Arial"/>
          <w:b w:val="0"/>
          <w:i w:val="0"/>
          <w:color w:val="111111"/>
          <w:sz w:val="19"/>
        </w:rPr>
        <w:t>Neither party may assign the Contract without the other's written consent, not unreasonably withheld, except Owner may assign to a Project lender or successor that assumes Owner's obligations and Design-Builder may assign receivables to a lender. No assignment releases the assigning party without written consent.</w:t>
      </w:r>
    </w:p>
    <w:p>
      <w:pPr>
        <w:keepNext w:val="0"/>
        <w:keepLines/>
        <w:widowControl/>
        <w:spacing w:before="0" w:after="110" w:lineRule="auto" w:line="252"/>
      </w:pPr>
      <w:r>
        <w:rPr>
          <w:rFonts w:ascii="Arial" w:hAnsi="Arial"/>
          <w:b/>
          <w:i w:val="0"/>
          <w:color w:val="1F2937"/>
          <w:sz w:val="19"/>
        </w:rPr>
        <w:t xml:space="preserve">15.4  Confidential Information.  </w:t>
      </w:r>
      <w:r>
        <w:rPr>
          <w:rFonts w:ascii="Arial" w:hAnsi="Arial"/>
          <w:b w:val="0"/>
          <w:i w:val="0"/>
          <w:color w:val="111111"/>
          <w:sz w:val="19"/>
        </w:rPr>
        <w:t>Each party shall protect nonpublic business, pricing, security, personal, and technical information using reasonable care and shall use it only for the Project. The duty does not apply to information lawfully public, independently developed, already known without restriction, or required to be disclosed by law.</w:t>
      </w:r>
    </w:p>
    <w:p>
      <w:pPr>
        <w:keepNext w:val="0"/>
        <w:keepLines/>
        <w:widowControl/>
        <w:spacing w:before="0" w:after="110" w:lineRule="auto" w:line="252"/>
      </w:pPr>
      <w:r>
        <w:rPr>
          <w:rFonts w:ascii="Arial" w:hAnsi="Arial"/>
          <w:b/>
          <w:i w:val="0"/>
          <w:color w:val="1F2937"/>
          <w:sz w:val="19"/>
        </w:rPr>
        <w:t xml:space="preserve">15.5  Tests and Inspections.  </w:t>
      </w:r>
      <w:r>
        <w:rPr>
          <w:rFonts w:ascii="Arial" w:hAnsi="Arial"/>
          <w:b w:val="0"/>
          <w:i w:val="0"/>
          <w:color w:val="111111"/>
          <w:sz w:val="19"/>
        </w:rPr>
        <w:t>Testing, special inspections, commissioning, and regulatory inspections are allocated in Article 4. Failed tests attributable to nonconforming Work are Design-Builder's responsibility. Added tests not required by the Contract are Owner's responsibility unless they reveal nonconformance.</w:t>
      </w:r>
    </w:p>
    <w:p>
      <w:pPr>
        <w:keepNext w:val="0"/>
        <w:keepLines/>
        <w:widowControl/>
        <w:spacing w:before="0" w:after="110" w:lineRule="auto" w:line="252"/>
      </w:pPr>
      <w:r>
        <w:rPr>
          <w:rFonts w:ascii="Arial" w:hAnsi="Arial"/>
          <w:b/>
          <w:i w:val="0"/>
          <w:color w:val="1F2937"/>
          <w:sz w:val="19"/>
        </w:rPr>
        <w:t xml:space="preserve">15.6  Rights and Remedies.  </w:t>
      </w:r>
      <w:r>
        <w:rPr>
          <w:rFonts w:ascii="Arial" w:hAnsi="Arial"/>
          <w:b w:val="0"/>
          <w:i w:val="0"/>
          <w:color w:val="111111"/>
          <w:sz w:val="19"/>
        </w:rPr>
        <w:t>Rights and remedies are cumulative unless the Contract expressly states otherwise. A waiver is effective only in writing and only for the stated instance. If a provision is unenforceable, it shall be limited or severed to the minimum extent necessary and the remaining provisions continue in effect.</w:t>
      </w:r>
    </w:p>
    <w:p>
      <w:pPr>
        <w:keepNext w:val="0"/>
        <w:keepLines/>
        <w:widowControl/>
        <w:spacing w:before="0" w:after="110" w:lineRule="auto" w:line="252"/>
      </w:pPr>
      <w:r>
        <w:rPr>
          <w:rFonts w:ascii="Arial" w:hAnsi="Arial"/>
          <w:b/>
          <w:i w:val="0"/>
          <w:color w:val="1F2937"/>
          <w:sz w:val="19"/>
        </w:rPr>
        <w:t xml:space="preserve">15.7  Electronic Signatures and Counterparts.  </w:t>
      </w:r>
      <w:r>
        <w:rPr>
          <w:rFonts w:ascii="Arial" w:hAnsi="Arial"/>
          <w:b w:val="0"/>
          <w:i w:val="0"/>
          <w:color w:val="111111"/>
          <w:sz w:val="19"/>
        </w:rPr>
        <w:t>This Agreement and later Modifications may be executed in counterparts and by legally valid electronic signature. Each signed counterpart is deemed an original and together they form one instrument.</w:t>
      </w:r>
    </w:p>
    <w:p>
      <w:pPr>
        <w:pStyle w:val="Heading1"/>
        <w:keepNext/>
      </w:pPr>
      <w:r>
        <w:rPr>
          <w:rFonts w:ascii="Arial" w:hAnsi="Arial"/>
          <w:b/>
          <w:i w:val="0"/>
          <w:color w:val="922E26"/>
          <w:sz w:val="27"/>
        </w:rPr>
        <w:t>ARTICLE 16  |  CONTRACT DOCUMENTS AND EXECUTION</w:t>
      </w:r>
    </w:p>
    <w:p>
      <w:pPr>
        <w:keepNext w:val="0"/>
        <w:keepLines/>
        <w:widowControl/>
        <w:spacing w:before="0" w:after="110" w:lineRule="auto" w:line="252"/>
      </w:pPr>
      <w:r>
        <w:rPr>
          <w:rFonts w:ascii="Arial" w:hAnsi="Arial"/>
          <w:b/>
          <w:i w:val="0"/>
          <w:color w:val="1F2937"/>
          <w:sz w:val="19"/>
        </w:rPr>
        <w:t xml:space="preserve">16.1  Included Documents.  </w:t>
      </w:r>
      <w:r>
        <w:rPr>
          <w:rFonts w:ascii="Arial" w:hAnsi="Arial"/>
          <w:b w:val="0"/>
          <w:i w:val="0"/>
          <w:color w:val="111111"/>
          <w:sz w:val="19"/>
        </w:rPr>
        <w:t>This Agreement consists of the documents listed below. A proposal, estimate, drawing, specification, schedule, report, or attachment is not part of the Contract unless specifically identified by title, date, and revision.</w:t>
      </w:r>
    </w:p>
    <w:tbl>
      <w:tblPr>
        <w:tblW w:type="dxa" w:w="9360"/>
        <w:jc w:val="left"/>
        <w:tblLayout w:type="fixed"/>
        <w:tblLook w:firstColumn="1" w:firstRow="1" w:lastColumn="0" w:lastRow="0" w:noHBand="0" w:noVBand="1" w:val="04A0"/>
        <w:tblInd w:w="120" w:type="dxa"/>
      </w:tblPr>
      <w:tblGrid>
        <w:gridCol w:w="1656"/>
        <w:gridCol w:w="3456"/>
        <w:gridCol w:w="1800"/>
        <w:gridCol w:w="2448"/>
      </w:tblGrid>
      <w:tr>
        <w:trPr>
          <w:trHeight w:hRule="atLeast"/>
          <w:tblHeader w:val="true"/>
        </w:trPr>
        <w:tc>
          <w:tcPr>
            <w:tcW w:type="dxa" w:w="165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6"/>
              </w:rPr>
              <w:t>Document</w:t>
            </w:r>
          </w:p>
        </w:tc>
        <w:tc>
          <w:tcPr>
            <w:tcW w:type="dxa" w:w="345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Title / identifier</w:t>
            </w:r>
          </w:p>
        </w:tc>
        <w:tc>
          <w:tcPr>
            <w:tcW w:type="dxa" w:w="1800"/>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Date / revision</w:t>
            </w:r>
          </w:p>
        </w:tc>
        <w:tc>
          <w:tcPr>
            <w:tcW w:type="dxa" w:w="2448"/>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center"/>
            </w:pPr>
            <w:r/>
            <w:r>
              <w:rPr>
                <w:rFonts w:ascii="Arial" w:hAnsi="Arial"/>
                <w:b/>
                <w:i w:val="0"/>
                <w:color w:val="FFFFFF"/>
                <w:sz w:val="16"/>
              </w:rPr>
              <w:t>Purpose</w:t>
            </w:r>
          </w:p>
        </w:tc>
      </w:tr>
      <w:tr>
        <w:trPr>
          <w:cantSplit/>
          <w:trHeight w:hRule="atLeast"/>
        </w:trPr>
        <w:tc>
          <w:tcPr>
            <w:tcW w:type="dxa" w:w="165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This Agreement</w:t>
            </w:r>
          </w:p>
        </w:tc>
        <w:tc>
          <w:tcPr>
            <w:tcW w:type="dxa" w:w="345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MC-OWN-DBLS-001 REV. 1.0</w:t>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t>Complete design and construction authorization</w:t>
            </w:r>
          </w:p>
        </w:tc>
      </w:tr>
      <w:tr>
        <w:trPr>
          <w:cantSplit/>
          <w:trHeight w:hRule="atLeast"/>
        </w:trPr>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4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4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4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4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r>
        <w:trPr>
          <w:cantSplit/>
          <w:trHeight w:hRule="atLeast"/>
        </w:trPr>
        <w:tc>
          <w:tcPr>
            <w:tcW w:type="dxa" w:w="16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345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1800"/>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c>
          <w:tcPr>
            <w:tcW w:type="dxa" w:w="2448"/>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6"/>
              </w:rPr>
            </w:r>
          </w:p>
        </w:tc>
      </w:tr>
    </w:tbl>
    <w:p>
      <w:pPr>
        <w:spacing w:after="40"/>
      </w:pPr>
    </w:p>
    <w:p>
      <w:pPr>
        <w:keepNext w:val="0"/>
        <w:keepLines/>
        <w:widowControl/>
        <w:spacing w:before="0" w:after="110" w:lineRule="auto" w:line="252"/>
      </w:pPr>
      <w:r>
        <w:rPr>
          <w:rFonts w:ascii="Arial" w:hAnsi="Arial"/>
          <w:b/>
          <w:i w:val="0"/>
          <w:color w:val="1F2937"/>
          <w:sz w:val="19"/>
        </w:rPr>
        <w:t xml:space="preserve">16.2  Order of Precedence.  </w:t>
      </w:r>
      <w:r>
        <w:rPr>
          <w:rFonts w:ascii="Arial" w:hAnsi="Arial"/>
          <w:b w:val="0"/>
          <w:i w:val="0"/>
          <w:color w:val="111111"/>
          <w:sz w:val="19"/>
        </w:rPr>
        <w:t>A later signed Change Order controls over earlier documents. Mandatory law controls next, followed by this Agreement, specifically listed Owner's Criteria, drawings and specifications, and other listed attachments. A specific requirement controls over a general requirement. Lower-tier terms do not modify Owner's or Design-Builder's rights unless expressly incorporated.</w:t>
      </w:r>
    </w:p>
    <w:p>
      <w:pPr>
        <w:keepNext w:val="0"/>
        <w:keepLines/>
        <w:widowControl/>
        <w:spacing w:before="0" w:after="110" w:lineRule="auto" w:line="252"/>
      </w:pPr>
      <w:r>
        <w:rPr>
          <w:rFonts w:ascii="Arial" w:hAnsi="Arial"/>
          <w:b/>
          <w:i w:val="0"/>
          <w:color w:val="1F2937"/>
          <w:sz w:val="19"/>
        </w:rPr>
        <w:t xml:space="preserve">16.3  Entire Agreement.  </w:t>
      </w:r>
      <w:r>
        <w:rPr>
          <w:rFonts w:ascii="Arial" w:hAnsi="Arial"/>
          <w:b w:val="0"/>
          <w:i w:val="0"/>
          <w:color w:val="111111"/>
          <w:sz w:val="19"/>
        </w:rPr>
        <w:t>The Contract Documents are the complete agreement concerning the Work. No prior or contemporaneous proposal, estimate, discussion, representation, or course of dealing modifies the Contract unless specifically incorporated in Article 16.1.</w:t>
      </w:r>
    </w:p>
    <w:p>
      <w:pPr>
        <w:pStyle w:val="Heading1"/>
        <w:pageBreakBefore/>
      </w:pPr>
      <w:r>
        <w:rPr>
          <w:rFonts w:ascii="Arial" w:hAnsi="Arial"/>
          <w:b/>
          <w:i w:val="0"/>
          <w:color w:val="922E26"/>
          <w:sz w:val="27"/>
        </w:rPr>
        <w:t>SIGNATURES</w:t>
      </w:r>
    </w:p>
    <w:tbl>
      <w:tblPr>
        <w:tblW w:type="dxa" w:w="9360"/>
        <w:jc w:val="left"/>
        <w:tblLayout w:type="fixed"/>
        <w:tblLook w:firstColumn="1" w:firstRow="1" w:lastColumn="0" w:lastRow="0" w:noHBand="0" w:noVBand="1" w:val="04A0"/>
        <w:tblInd w:w="120" w:type="dxa"/>
      </w:tblPr>
      <w:tblGrid>
        <w:gridCol w:w="2664"/>
        <w:gridCol w:w="6696"/>
      </w:tblGrid>
      <w:tr>
        <w:trPr>
          <w:trHeight w:hRule="atLeast"/>
          <w:tblHeader w:val="true"/>
        </w:trPr>
        <w:tc>
          <w:tcPr>
            <w:tcW w:type="dxa" w:w="2664"/>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EXECUTION INFORMATION</w:t>
            </w:r>
          </w:p>
        </w:tc>
        <w:tc>
          <w:tcPr>
            <w:tcW w:type="dxa" w:w="6696"/>
            <w:shd w:fill="1F2937"/>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FFFFFF"/>
                <w:sz w:val="17"/>
              </w:rPr>
              <w:t>AGREED VALUE</w:t>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Owner legal name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Project</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r>
        <w:trPr>
          <w:cantSplit/>
          <w:trHeight w:hRule="atLeast" w:val="461"/>
        </w:trPr>
        <w:tc>
          <w:tcPr>
            <w:tcW w:type="dxa" w:w="2664"/>
            <w:shd w:fill="F3F4F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i w:val="0"/>
                <w:color w:val="1F2937"/>
                <w:sz w:val="17"/>
              </w:rPr>
              <w:t>Agreement effective date</w:t>
            </w:r>
          </w:p>
        </w:tc>
        <w:tc>
          <w:tcPr>
            <w:tcW w:type="dxa" w:w="6696"/>
            <w:shd w:fill="F5E8E6"/>
            <w:tcMar>
              <w:top w:w="80" w:type="dxa"/>
              <w:start w:w="120" w:type="dxa"/>
              <w:bottom w:w="80" w:type="dxa"/>
              <w:end w:w="120" w:type="dxa"/>
            </w:tcMar>
            <w:vAlign w:val="center"/>
            <w:tcBorders>
              <w:top w:val="single" w:sz="4" w:color="D1D5DB"/>
              <w:bottom w:val="single" w:sz="4" w:color="D1D5DB"/>
              <w:start w:val="single" w:sz="4" w:color="D1D5DB"/>
              <w:end w:val="single" w:sz="4" w:color="D1D5DB"/>
            </w:tcBorders>
          </w:tcPr>
          <w:p>
            <w:pPr>
              <w:keepNext w:val="0"/>
              <w:widowControl/>
              <w:spacing w:before="0" w:after="0" w:lineRule="auto" w:line="245"/>
              <w:jc w:val="left"/>
            </w:pPr>
            <w:r/>
            <w:r>
              <w:rPr>
                <w:rFonts w:ascii="Arial" w:hAnsi="Arial"/>
                <w:b w:val="0"/>
                <w:i w:val="0"/>
                <w:color w:val="1F2937"/>
                <w:sz w:val="17"/>
              </w:rPr>
            </w:r>
          </w:p>
        </w:tc>
      </w:tr>
    </w:tbl>
    <w:p>
      <w:pPr>
        <w:spacing w:after="40"/>
      </w:pPr>
    </w:p>
    <w:p>
      <w:pPr>
        <w:keepNext w:val="0"/>
        <w:widowControl/>
        <w:spacing w:before="200" w:after="200" w:lineRule="auto" w:line="252"/>
      </w:pPr>
      <w:r>
        <w:rPr>
          <w:rFonts w:ascii="Arial" w:hAnsi="Arial"/>
          <w:b w:val="0"/>
          <w:i w:val="0"/>
          <w:color w:val="111111"/>
          <w:sz w:val="19"/>
        </w:rPr>
        <w:t>The parties execute this Agreement through their authorized representatives. This single execution authorizes the complete design and construction Work described in the Contract Documents.</w:t>
      </w:r>
    </w:p>
    <w:tbl>
      <w:tblPr>
        <w:tblW w:type="dxa" w:w="9360"/>
        <w:jc w:val="left"/>
        <w:tblLayout w:type="fixed"/>
        <w:tblLook w:firstColumn="1" w:firstRow="1" w:lastColumn="0" w:lastRow="0" w:noHBand="0" w:noVBand="1" w:val="04A0"/>
        <w:tblInd w:w="120" w:type="dxa"/>
      </w:tblPr>
      <w:tblGrid>
        <w:gridCol w:w="4680"/>
        <w:gridCol w:w="4680"/>
      </w:tblGrid>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i w:val="0"/>
                <w:color w:val="922E26"/>
                <w:sz w:val="17"/>
              </w:rPr>
              <w:t>OWNER</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i w:val="0"/>
                <w:color w:val="922E26"/>
                <w:sz w:val="17"/>
              </w:rPr>
              <w:t>MEFFORD CONTRACTING, LLC</w:t>
            </w:r>
          </w:p>
        </w:tc>
      </w:tr>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Legal name: __________________________</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By: __________________________________</w:t>
            </w:r>
          </w:p>
        </w:tc>
      </w:tr>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By: __________________________________</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Printed name: _________________________</w:t>
            </w:r>
          </w:p>
        </w:tc>
      </w:tr>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Printed name: _________________________</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Title: _________________________________</w:t>
            </w:r>
          </w:p>
        </w:tc>
      </w:tr>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Title: _________________________________</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Date: __________________________________</w:t>
            </w:r>
          </w:p>
        </w:tc>
      </w:tr>
      <w:tr>
        <w:trPr>
          <w:trHeight w:hRule="atLeast"/>
          <w:cantSplit/>
        </w:trPr>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t>Date: __________________________________</w:t>
            </w:r>
          </w:p>
        </w:tc>
        <w:tc>
          <w:tcPr>
            <w:tcW w:type="dxa" w:w="4680"/>
            <w:tcMar>
              <w:top w:w="80" w:type="dxa"/>
              <w:start w:w="120" w:type="dxa"/>
              <w:bottom w:w="80" w:type="dxa"/>
              <w:end w:w="120" w:type="dxa"/>
            </w:tcMar>
            <w:vAlign w:val="center"/>
            <w:tcBorders>
              <w:bottom w:val="nil"/>
              <w:top w:val="nil"/>
              <w:start w:val="nil"/>
              <w:end w:val="nil"/>
            </w:tcBorders>
          </w:tcPr>
          <w:p>
            <w:pPr>
              <w:keepNext w:val="0"/>
              <w:widowControl/>
              <w:spacing w:before="0" w:after="0" w:lineRule="auto" w:line="245"/>
              <w:jc w:val="left"/>
            </w:pPr>
            <w:r/>
            <w:r>
              <w:rPr>
                <w:rFonts w:ascii="Arial" w:hAnsi="Arial"/>
                <w:b w:val="0"/>
                <w:i w:val="0"/>
                <w:color w:val="1F2937"/>
                <w:sz w:val="17"/>
              </w:rPr>
            </w:r>
          </w:p>
        </w:tc>
      </w:tr>
    </w:tbl>
    <w:sectPr w:rsidR="00FC693F" w:rsidRPr="0006063C" w:rsidSect="00034616">
      <w:headerReference w:type="default" r:id="rId9"/>
      <w:footerReference w:type="default" r:id="rId10"/>
      <w:footerReference w:type="first" r:id="rId11"/>
      <w:pgSz w:w="12240" w:h="15840"/>
      <w:pgMar w:top="1440" w:right="1440" w:bottom="1181" w:left="1440" w:header="547"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before="0" w:after="0" w:lineRule="auto" w:line="240"/>
      <w:jc w:val="center"/>
    </w:pPr>
    <w:r>
      <w:rPr>
        <w:rFonts w:ascii="Arial" w:hAnsi="Arial"/>
        <w:b w:val="0"/>
        <w:i w:val="0"/>
        <w:color w:val="58585A"/>
        <w:sz w:val="16"/>
      </w:rPr>
      <w:t xml:space="preserve">MC-OWN-DBLS-001 REV. 1.0   |   Page </w:t>
    </w:r>
    <w:r>
      <w:rPr>
        <w:rFonts w:ascii="Arial" w:hAnsi="Arial"/>
        <w:b w:val="0"/>
        <w:i w:val="0"/>
        <w:color w:val="58585A"/>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before="0" w:after="0" w:lineRule="auto" w:line="240"/>
      <w:jc w:val="center"/>
    </w:pPr>
    <w:r>
      <w:rPr>
        <w:rFonts w:ascii="Arial" w:hAnsi="Arial"/>
        <w:b w:val="0"/>
        <w:i w:val="0"/>
        <w:color w:val="58585A"/>
        <w:sz w:val="16"/>
      </w:rPr>
      <w:t>MC-OWN-DBLS-001 REV.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widowControl/>
      <w:spacing w:before="0" w:after="0" w:lineRule="auto" w:line="240"/>
      <w:jc w:val="left"/>
    </w:pPr>
    <w:r>
      <w:rPr>
        <w:rFonts w:ascii="Arial" w:hAnsi="Arial"/>
        <w:b/>
        <w:i w:val="0"/>
        <w:color w:val="922E26"/>
        <w:sz w:val="16"/>
      </w:rPr>
      <w:t>MEFFORD CONTRACTING, LLC</w:t>
    </w:r>
    <w:r>
      <w:rPr>
        <w:rFonts w:ascii="Arial" w:hAnsi="Arial"/>
        <w:b/>
        <w:i w:val="0"/>
        <w:color w:val="58585A"/>
        <w:sz w:val="16"/>
      </w:rPr>
      <w:t xml:space="preserve">   |   DESIGN-BUILD LUMP SUM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2" w:lineRule="auto"/>
    </w:pPr>
    <w:rPr>
      <w:rFonts w:ascii="Arial" w:hAnsi="Arial"/>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80" w:after="140"/>
      <w:outlineLvl w:val="0"/>
    </w:pPr>
    <w:rPr>
      <w:rFonts w:asciiTheme="majorHAnsi" w:eastAsiaTheme="majorEastAsia" w:hAnsiTheme="majorHAnsi" w:cstheme="majorBidi" w:ascii="Arial" w:hAnsi="Arial"/>
      <w:b/>
      <w:bCs/>
      <w:color w:val="922E26"/>
      <w:sz w:val="27"/>
      <w:szCs w:val="28"/>
    </w:rPr>
  </w:style>
  <w:style w:type="paragraph" w:styleId="Heading2">
    <w:name w:val="heading 2"/>
    <w:basedOn w:val="Normal"/>
    <w:next w:val="Normal"/>
    <w:link w:val="Heading2Char"/>
    <w:uiPriority w:val="9"/>
    <w:unhideWhenUsed/>
    <w:qFormat/>
    <w:rsid w:val="00FC693F"/>
    <w:pPr>
      <w:keepNext/>
      <w:keepLines/>
      <w:pageBreakBefore w:val="0"/>
      <w:spacing w:before="180" w:after="80"/>
      <w:outlineLvl w:val="1"/>
    </w:pPr>
    <w:rPr>
      <w:rFonts w:asciiTheme="majorHAnsi" w:eastAsiaTheme="majorEastAsia" w:hAnsiTheme="majorHAnsi" w:cstheme="majorBidi" w:ascii="Arial" w:hAnsi="Arial"/>
      <w:b/>
      <w:bCs/>
      <w:color w:val="1F2937"/>
      <w:sz w:val="21"/>
      <w:szCs w:val="26"/>
    </w:rPr>
  </w:style>
  <w:style w:type="paragraph" w:styleId="Heading3">
    <w:name w:val="heading 3"/>
    <w:basedOn w:val="Normal"/>
    <w:next w:val="Normal"/>
    <w:link w:val="Heading3Char"/>
    <w:uiPriority w:val="9"/>
    <w:unhideWhenUsed/>
    <w:qFormat/>
    <w:rsid w:val="00FC693F"/>
    <w:pPr>
      <w:keepNext/>
      <w:keepLines/>
      <w:pageBreakBefore w:val="0"/>
      <w:spacing w:before="120" w:after="60"/>
      <w:outlineLvl w:val="2"/>
    </w:pPr>
    <w:rPr>
      <w:rFonts w:asciiTheme="majorHAnsi" w:eastAsiaTheme="majorEastAsia" w:hAnsiTheme="majorHAnsi" w:cstheme="majorBidi" w:ascii="Arial" w:hAnsi="Arial"/>
      <w:b/>
      <w:bCs/>
      <w:color w:val="1F2937"/>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b/>
      <w:color w:val="1F293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pageBreakBefore w:val="0"/>
      <w:numPr>
        <w:ilvl w:val="1"/>
      </w:numPr>
      <w:spacing w:before="0" w:after="280"/>
    </w:pPr>
    <w:rPr>
      <w:rFonts w:asciiTheme="majorHAnsi" w:eastAsiaTheme="majorEastAsia" w:hAnsiTheme="majorHAnsi" w:cstheme="majorBidi" w:ascii="Arial" w:hAnsi="Arial"/>
      <w:b/>
      <w:i/>
      <w:iCs/>
      <w:color w:val="58585A"/>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Mefford Design-Build Lump Sum Agreement</dc:title>
  <dc:subject>Single-signature owner agreement authorizing complete design and construction for a fixed lump sum</dc:subject>
  <dc:creator>Mefford Contracting, LLC</dc:creator>
  <cp:keywords>Design-Build, Lump Sum, Owner Contract, Design and Construction</cp:keywords>
  <dc:description>generated by python-docx</dc:description>
  <cp:lastModifiedBy/>
  <cp:revision>1</cp:revision>
  <dcterms:created xsi:type="dcterms:W3CDTF">2013-12-23T23:15:00Z</dcterms:created>
  <dcterms:modified xsi:type="dcterms:W3CDTF">2013-12-23T23:15:00Z</dcterms:modified>
  <cp:category/>
</cp:coreProperties>
</file>