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202C3B"/>
          <w:sz w:val="44"/>
        </w:rPr>
        <w:t>DESIGN-BUILD GMP AGREEMENT</w:t>
      </w:r>
    </w:p>
    <w:p>
      <w:pPr>
        <w:spacing w:after="160"/>
        <w:jc w:val="center"/>
      </w:pPr>
      <w:r>
        <w:rPr>
          <w:rFonts w:ascii="Arial" w:hAnsi="Arial"/>
          <w:color w:val="58585A"/>
          <w:sz w:val="22"/>
        </w:rPr>
        <w:t>Phase One Design Authorization and GMP Contract Framework</w:t>
      </w:r>
    </w:p>
    <w:p>
      <w:pPr>
        <w:spacing w:after="240"/>
        <w:jc w:val="center"/>
      </w:pPr>
      <w:r>
        <w:rPr>
          <w:rFonts w:ascii="Arial" w:hAnsi="Arial"/>
          <w:b/>
          <w:color w:val="922E26"/>
          <w:sz w:val="16"/>
        </w:rPr>
        <w:t>MC-OWN-DBGMP-001  |  REV. 3.0</w:t>
      </w: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AGREEMENT INFORMATION</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VALUE</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Agreement date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legal name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legal status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address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contact / email</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name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address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description</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Mefford Contracting, LLC</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 address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1585 Mercer Road, Suite 110, Lexington, Kentucky 40511</w:t>
            </w:r>
          </w:p>
        </w:tc>
      </w:tr>
    </w:tbl>
    <w:p>
      <w:pPr>
        <w:spacing w:after="40"/>
      </w:pP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INITIAL OWNER AUTHORIZATION</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APPROVED AMOUNT / DATE</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Owner's total Project budget</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Phase One design and preconstruction fee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Amount due upon execution</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Target date for GMP proposal</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r>
        <w:br w:type="page"/>
      </w:r>
    </w:p>
    <w:p>
      <w:pPr>
        <w:pStyle w:val="Heading1"/>
      </w:pPr>
      <w:r>
        <w:t>TABLE OF ARTICLES</w:t>
      </w:r>
    </w:p>
    <w:tbl>
      <w:tblPr>
        <w:tblStyle w:val="TableGrid"/>
        <w:tblW w:type="dxa" w:w="9360"/>
        <w:jc w:val="left"/>
        <w:tblLayout w:type="fixed"/>
        <w:tblLook w:firstColumn="1" w:firstRow="1" w:lastColumn="0" w:lastRow="0" w:noHBand="0" w:noVBand="1" w:val="04A0"/>
        <w:tblInd w:w="90" w:type="dxa"/>
      </w:tblPr>
      <w:tblGrid>
        <w:gridCol w:w="792"/>
        <w:gridCol w:w="8568"/>
      </w:tblGrid>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AGREEMENT FOUNDATION AND OWNER CRITERIA</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2</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PHASE ONE AUTHORIZATION AND PAYMENT</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3</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DESIGN-BUILDER STANDARDS AND ADMINISTRATION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4</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PRE-GMP SERVICES AND PROPOSAL</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5</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CONSTRUCTION-PHASE WORK</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6</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CHANGES AND PRICING ADJUSTMENTS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7</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OWNER DUTIES AND INPUTS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8</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SCHEDULE AND DELAY</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9</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BILLING, PAYMENT, AND COMPLETION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10</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SITE SAFETY AND PROPERTY PROTECTION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11</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DEFECTIVE WORK AND CORRECTION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12</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DESIGN DOCUMENTS AND USE RIGHTS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13</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SUSPENSION AND TERMINATION</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14</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CLAIMS AND DISPUTE PROCESS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15</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GENERAL CONTRACT TERMS</w:t>
            </w:r>
          </w:p>
        </w:tc>
      </w:tr>
      <w:tr>
        <w:trPr>
          <w:cantSplit/>
        </w:trPr>
        <w:tc>
          <w:tcPr>
            <w:tcW w:type="dxa" w:w="792"/>
            <w:vAlign w:val="center"/>
            <w:tcMar>
              <w:top w:w="90" w:type="dxa"/>
              <w:start w:w="90" w:type="dxa"/>
              <w:bottom w:w="90" w:type="dxa"/>
              <w:end w:w="90" w:type="dxa"/>
            </w:tcMar>
            <w:shd w:fill="FFFFFF" w:val="clear"/>
          </w:tcPr>
          <w:p>
            <w:pPr>
              <w:spacing w:before="0" w:after="0" w:line="240" w:lineRule="auto"/>
            </w:pPr>
            <w:r>
              <w:rPr>
                <w:rFonts w:ascii="Arial" w:hAnsi="Arial"/>
                <w:b/>
                <w:color w:val="922E26"/>
                <w:sz w:val="16"/>
              </w:rPr>
              <w:t>16</w:t>
            </w:r>
          </w:p>
        </w:tc>
        <w:tc>
          <w:tcPr>
            <w:tcW w:type="dxa" w:w="8568"/>
            <w:vAlign w:val="center"/>
            <w:tcMar>
              <w:top w:w="90" w:type="dxa"/>
              <w:start w:w="90" w:type="dxa"/>
              <w:bottom w:w="90" w:type="dxa"/>
              <w:end w:w="90" w:type="dxa"/>
            </w:tcMar>
            <w:shd w:fill="FFFFFF" w:val="clear"/>
          </w:tcPr>
          <w:p>
            <w:pPr>
              <w:spacing w:before="0" w:after="0" w:line="240" w:lineRule="auto"/>
            </w:pPr>
            <w:r>
              <w:rPr>
                <w:rFonts w:ascii="Arial" w:hAnsi="Arial"/>
                <w:b/>
                <w:color w:val="202C3B"/>
                <w:sz w:val="16"/>
              </w:rPr>
              <w:t>CONTRACT DOCUMENTS AND SIGNATURES</w:t>
            </w:r>
          </w:p>
        </w:tc>
      </w:tr>
    </w:tbl>
    <w:p>
      <w:pPr>
        <w:spacing w:after="40"/>
      </w:pPr>
    </w:p>
    <w:p>
      <w:pPr>
        <w:spacing w:before="40" w:after="120"/>
      </w:pPr>
      <w:r>
        <w:rPr>
          <w:rFonts w:ascii="Arial" w:hAnsi="Arial"/>
          <w:b/>
          <w:color w:val="202C3B"/>
          <w:sz w:val="19"/>
        </w:rPr>
        <w:t>This Agreement authorizes the defined Phase One design and preconstruction services. The stated Project budget is a planning criterion only. Construction and the Guaranteed Maximum Price become binding only when Owner and Design-Builder later sign Exhibit A.</w:t>
      </w:r>
    </w:p>
    <w:p>
      <w:pPr>
        <w:pStyle w:val="Heading1"/>
      </w:pPr>
      <w:r>
        <w:t>ARTICLE 1  |  AGREEMENT FOUNDATION AND OWNER CRITERIA</w:t>
      </w:r>
    </w:p>
    <w:p>
      <w:pPr>
        <w:keepLines w:val="0"/>
        <w:widowControl/>
      </w:pPr>
      <w:r>
        <w:rPr>
          <w:rFonts w:ascii="Arial" w:hAnsi="Arial"/>
          <w:b/>
          <w:color w:val="202C3B"/>
          <w:sz w:val="18"/>
        </w:rPr>
        <w:t xml:space="preserve">1.1  Two-Stage Transaction.  </w:t>
      </w:r>
      <w:r>
        <w:rPr>
          <w:rFonts w:ascii="Arial" w:hAnsi="Arial"/>
          <w:color w:val="202C3B"/>
          <w:sz w:val="18"/>
        </w:rPr>
        <w:t>The parties are entering a single design-build relationship in two commercial stages. This Agreement establishes the parties' responsibilities, authorizes Phase One, and provides the rules that will govern the Project. Exhibit A, if later signed, accepts the final pricing basis, establishes the Guaranteed Maximum Price and Contract Time, and authorizes construction. No estimate, schedule, drawing submission, procurement discussion, or Owner approval creates a construction Contract Sum before Exhibit A unless the parties sign a separate early-work authorization.</w:t>
      </w:r>
    </w:p>
    <w:p>
      <w:pPr>
        <w:keepLines w:val="0"/>
        <w:widowControl/>
      </w:pPr>
      <w:r>
        <w:rPr>
          <w:rFonts w:ascii="Arial" w:hAnsi="Arial"/>
          <w:b/>
          <w:color w:val="202C3B"/>
          <w:sz w:val="18"/>
        </w:rPr>
        <w:t xml:space="preserve">1.2  Owner Criteria.  </w:t>
      </w:r>
      <w:r>
        <w:rPr>
          <w:rFonts w:ascii="Arial" w:hAnsi="Arial"/>
          <w:color w:val="202C3B"/>
          <w:sz w:val="18"/>
        </w:rPr>
        <w:t>The Owner Criteria are the program, intended use, performance requirements, quality level, physical and site conditions, operational needs, budget, schedule, sustainability goals, and other requirements identified below or in a specifically listed attachment. Design-Builder may rely on information furnished by Owner, while remaining responsible to report a conflict or deficiency that a reasonably careful design-builder would recognize while performing the agreed services.</w:t>
      </w: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OWNER CRITERIA</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PROJECT REQUIREMENT</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Program and intended use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Approximate size / capacity</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Scope, quality, and performance level</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Site and physical requirements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milestones and review dates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Anticipated construction period</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Owner-furnished surveys, reports, and data</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Owner-required consultants or contractors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Sustainability, incentives, and special requirements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 Owner Criteria</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1.3  Criteria Review and Modification.  </w:t>
      </w:r>
      <w:r>
        <w:rPr>
          <w:rFonts w:ascii="Arial" w:hAnsi="Arial"/>
          <w:color w:val="202C3B"/>
          <w:sz w:val="18"/>
        </w:rPr>
        <w:t>Design-Builder shall review the Owner Criteria for general coordination with known law, code, site information, budget, and schedule. Design-Builder shall promptly describe known conflicts and practical alternatives. A material change to program, area, quantity, quality, performance, site limits, schedule, deliverables, or budget requires a written Modification. Normal design development that implements unchanged criteria is not a Change.</w:t>
      </w:r>
    </w:p>
    <w:p>
      <w:pPr>
        <w:keepLines w:val="0"/>
        <w:widowControl/>
      </w:pPr>
      <w:r>
        <w:rPr>
          <w:rFonts w:ascii="Arial" w:hAnsi="Arial"/>
          <w:b/>
          <w:color w:val="202C3B"/>
          <w:sz w:val="18"/>
        </w:rPr>
        <w:t xml:space="preserve">1.4  Project Team.  </w:t>
      </w:r>
      <w:r>
        <w:rPr>
          <w:rFonts w:ascii="Arial" w:hAnsi="Arial"/>
          <w:color w:val="202C3B"/>
          <w:sz w:val="18"/>
        </w:rPr>
        <w:t>Each party shall act through the representative identified below. The representative may bind the appointing party only within the authority stated here or separately confirmed in writing. The Owner shall provide one coordinated response for each submission. Either party may change its representative on reasonable written notice.</w:t>
      </w: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PROJECT TEAM</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NAME / CONTACT / ROLE</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 representative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 Owner reviewers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Owner's lender or program manager</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 representative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Lead Design Professional</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1.5  Dispute Election.  </w:t>
      </w:r>
      <w:r>
        <w:rPr>
          <w:rFonts w:ascii="Arial" w:hAnsi="Arial"/>
          <w:color w:val="202C3B"/>
          <w:sz w:val="18"/>
        </w:rPr>
        <w:t>Disputes that remain unresolved after the executive negotiation and mediation steps in Article 14 will be resolved by the binding method selected below. If the field is left blank, litigation in a court with jurisdiction over the Project applies.</w:t>
      </w: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DISPUTE ELECTION</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TERM</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Binding method</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Mediation provider / rules</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Venue</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1.6  Contract Documents.  </w:t>
      </w:r>
      <w:r>
        <w:rPr>
          <w:rFonts w:ascii="Arial" w:hAnsi="Arial"/>
          <w:color w:val="202C3B"/>
          <w:sz w:val="18"/>
        </w:rPr>
        <w:t>The Contract consists only of this Agreement, later-executed Exhibit A, attachments specifically listed in Article 16, signed Change Orders and Modifications, and other writings expressly incorporated by both parties. It replaces prior proposals and discussions concerning the same Work, except that a listed proposal may supply scope or pricing assumptions to the extent stated in the incorporating document.</w:t>
      </w:r>
    </w:p>
    <w:p>
      <w:pPr>
        <w:keepLines w:val="0"/>
        <w:widowControl/>
      </w:pPr>
      <w:r>
        <w:rPr>
          <w:rFonts w:ascii="Arial" w:hAnsi="Arial"/>
          <w:b/>
          <w:color w:val="202C3B"/>
          <w:sz w:val="18"/>
        </w:rPr>
        <w:t xml:space="preserve">1.7  Core Definitions.  </w:t>
      </w:r>
      <w:r>
        <w:rPr>
          <w:rFonts w:ascii="Arial" w:hAnsi="Arial"/>
          <w:color w:val="202C3B"/>
          <w:sz w:val="18"/>
        </w:rPr>
        <w:t>Work includes the design, professional services, preconstruction, procurement, construction, commissioning, and closeout services required by the Contract. Project means the broader undertaking of which the Work may be all or part. Phase One means the services authorized before Exhibit A. GMP means the Guaranteed Maximum Price stated in Exhibit A. Cost of the Work means the reimbursable Project costs defined in Exhibit A. Design Professional means an architect, engineer, or other properly licensed professional. Instruments of Service means drawings, models, specifications, calculations, reports, and similar professional work product. Substantial Completion means the stage stated in Article 9 at which the Work can be used for its intended purpose, subject to incomplete or corrective items. Day means calendar day unless the Contract expressly says business day.</w:t>
      </w:r>
    </w:p>
    <w:p>
      <w:pPr>
        <w:keepLines w:val="0"/>
        <w:widowControl/>
      </w:pPr>
      <w:r>
        <w:rPr>
          <w:rFonts w:ascii="Arial" w:hAnsi="Arial"/>
          <w:b/>
          <w:color w:val="202C3B"/>
          <w:sz w:val="18"/>
        </w:rPr>
        <w:t xml:space="preserve">1.8  No Third-Party Beneficiaries.  </w:t>
      </w:r>
      <w:r>
        <w:rPr>
          <w:rFonts w:ascii="Arial" w:hAnsi="Arial"/>
          <w:color w:val="202C3B"/>
          <w:sz w:val="18"/>
        </w:rPr>
        <w:t>The Contract creates rights between Owner and Design-Builder only. Design Professionals, subcontractors, suppliers, lenders, tenants, and separate contractors do not receive enforcement rights under this Contract unless a signed provision expressly grants them.</w:t>
      </w:r>
    </w:p>
    <w:p>
      <w:pPr>
        <w:keepLines w:val="0"/>
        <w:widowControl/>
      </w:pPr>
      <w:r>
        <w:rPr>
          <w:rFonts w:ascii="Arial" w:hAnsi="Arial"/>
          <w:b/>
          <w:color w:val="202C3B"/>
          <w:sz w:val="18"/>
        </w:rPr>
        <w:t xml:space="preserve">1.9  Electronic Information.  </w:t>
      </w:r>
      <w:r>
        <w:rPr>
          <w:rFonts w:ascii="Arial" w:hAnsi="Arial"/>
          <w:color w:val="202C3B"/>
          <w:sz w:val="18"/>
        </w:rPr>
        <w:t>The parties may transmit design and Project information electronically. Unless a separate digital-data protocol is listed in Article 16, the signed or formally issued version controls over a convenience copy, each party shall use reasonable safeguards, and neither party may rely on an editable model or native file for fabrication or construction unless Design-Builder expressly designates that use in writing.</w:t>
      </w:r>
    </w:p>
    <w:p>
      <w:pPr>
        <w:pStyle w:val="Heading1"/>
      </w:pPr>
      <w:r>
        <w:t>ARTICLE 2  |  PHASE ONE AUTHORIZATION AND PAYMENT</w:t>
      </w:r>
    </w:p>
    <w:p>
      <w:pPr>
        <w:keepLines w:val="0"/>
        <w:widowControl/>
      </w:pPr>
      <w:r>
        <w:rPr>
          <w:rFonts w:ascii="Arial" w:hAnsi="Arial"/>
          <w:b/>
          <w:color w:val="202C3B"/>
          <w:sz w:val="18"/>
        </w:rPr>
        <w:t xml:space="preserve">2.1  Authorization.  </w:t>
      </w:r>
      <w:r>
        <w:rPr>
          <w:rFonts w:ascii="Arial" w:hAnsi="Arial"/>
          <w:color w:val="202C3B"/>
          <w:sz w:val="18"/>
        </w:rPr>
        <w:t>Upon execution and receipt of the required upfront payment, Design-Builder shall perform the Phase One services selected below. Phase One is intended to confirm the Project criteria, advance design, test budget and schedule, engage trade input as appropriate, and prepare a complete GMP proposal. General construction is not authorized unless the parties execute Exhibit A or a separate written early-work authorization.</w:t>
      </w:r>
    </w:p>
    <w:tbl>
      <w:tblPr>
        <w:tblStyle w:val="TableGrid"/>
        <w:tblW w:type="dxa" w:w="9360"/>
        <w:jc w:val="left"/>
        <w:tblLayout w:type="fixed"/>
        <w:tblLook w:firstColumn="1" w:firstRow="1" w:lastColumn="0" w:lastRow="0" w:noHBand="0" w:noVBand="1" w:val="04A0"/>
        <w:tblInd w:w="90" w:type="dxa"/>
      </w:tblPr>
      <w:tblGrid>
        <w:gridCol w:w="3096"/>
        <w:gridCol w:w="6264"/>
      </w:tblGrid>
      <w:tr>
        <w:trPr>
          <w:cantSplit/>
          <w:tblHeader/>
        </w:trPr>
        <w:tc>
          <w:tcPr>
            <w:tcW w:type="dxa" w:w="309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PHASE ONE SERVICE</w:t>
            </w:r>
          </w:p>
        </w:tc>
        <w:tc>
          <w:tcPr>
            <w:tcW w:type="dxa" w:w="626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INCLUDED SCOPE / DELIVERABLE / RESPONSIBLE FIRM</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Program, site, code, and permitting review</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Architectural design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Civil and structural design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MEP and fire-protection design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Concept / schematic design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 development</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Permit / pricing documents</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Estimating and constructability</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Value analysis and option studies</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Preliminary schedule and procurement planning</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Trade outreach / market testing</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GMP proposal and Exhibit A preparation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2.2  Phase One Fee and Upfront Payment.  </w:t>
      </w:r>
      <w:r>
        <w:rPr>
          <w:rFonts w:ascii="Arial" w:hAnsi="Arial"/>
          <w:color w:val="202C3B"/>
          <w:sz w:val="18"/>
        </w:rPr>
        <w:t>Owner shall pay the Phase One fee on the basis stated below. The amount due upon execution is an advance against the fee and a condition precedent to Design-Builder beginning services, retaining Design Professionals, ordering reports, or making Project commitments. The advance is applied to the earliest Phase One invoices and is earned as services are performed or commitments are incurred. Any unapplied, unearned balance is credited in the final Phase One invoice or Exhibit A. Delay in receipt extends the Phase One schedule. A fixed fee covers only the defined scope; changed criteria, added meetings or submissions, acceleration, redesign, or services caused by Owner delay are additional services.</w:t>
      </w:r>
    </w:p>
    <w:tbl>
      <w:tblPr>
        <w:tblStyle w:val="TableGrid"/>
        <w:tblW w:type="dxa" w:w="9360"/>
        <w:jc w:val="left"/>
        <w:tblLayout w:type="fixed"/>
        <w:tblLook w:firstColumn="1" w:firstRow="1" w:lastColumn="0" w:lastRow="0" w:noHBand="0" w:noVBand="1" w:val="04A0"/>
        <w:tblInd w:w="90" w:type="dxa"/>
      </w:tblPr>
      <w:tblGrid>
        <w:gridCol w:w="3096"/>
        <w:gridCol w:w="6264"/>
      </w:tblGrid>
      <w:tr>
        <w:trPr>
          <w:cantSplit/>
          <w:tblHeader/>
        </w:trPr>
        <w:tc>
          <w:tcPr>
            <w:tcW w:type="dxa" w:w="309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PHASE ONE COMPENSATION</w:t>
            </w:r>
          </w:p>
        </w:tc>
        <w:tc>
          <w:tcPr>
            <w:tcW w:type="dxa" w:w="626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AGREED AMOUNT / BASIS</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Fee basis</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Total Phase One fee</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Amount due upon execution</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$____________________________</w:t>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Remaining billing schedule</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309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Treatment in later GMP</w:t>
            </w:r>
          </w:p>
        </w:tc>
        <w:tc>
          <w:tcPr>
            <w:tcW w:type="dxa" w:w="62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2.3  Additional and Hourly Services.  </w:t>
      </w:r>
      <w:r>
        <w:rPr>
          <w:rFonts w:ascii="Arial" w:hAnsi="Arial"/>
          <w:color w:val="202C3B"/>
          <w:sz w:val="18"/>
        </w:rPr>
        <w:t>Design-Builder may perform services beyond the listed Phase One scope only after written authorization, except emergency measures needed to protect persons, property, or Instruments of Service. Authorized hourly services are invoiced at the rates below, plus reimbursable expenses and the applicable Project-specific markup.</w:t>
      </w:r>
    </w:p>
    <w:tbl>
      <w:tblPr>
        <w:tblStyle w:val="TableGrid"/>
        <w:tblW w:type="dxa" w:w="9360"/>
        <w:jc w:val="left"/>
        <w:tblLayout w:type="fixed"/>
        <w:tblLook w:firstColumn="1" w:firstRow="1" w:lastColumn="0" w:lastRow="0" w:noHBand="0" w:noVBand="1" w:val="04A0"/>
        <w:tblInd w:w="90" w:type="dxa"/>
      </w:tblPr>
      <w:tblGrid>
        <w:gridCol w:w="4176"/>
        <w:gridCol w:w="1800"/>
        <w:gridCol w:w="3384"/>
      </w:tblGrid>
      <w:tr>
        <w:trPr>
          <w:cantSplit/>
          <w:tblHeader/>
        </w:trPr>
        <w:tc>
          <w:tcPr>
            <w:tcW w:type="dxa" w:w="417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POSITION / SERVICE</w:t>
            </w:r>
          </w:p>
        </w:tc>
        <w:tc>
          <w:tcPr>
            <w:tcW w:type="dxa" w:w="1800"/>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HOURLY RATE</w:t>
            </w:r>
          </w:p>
        </w:tc>
        <w:tc>
          <w:tcPr>
            <w:tcW w:type="dxa" w:w="338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NOTES / LIMIT</w:t>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Principal / executive</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Project manager</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Preconstruction / estimator</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Architect / engineer</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Designer / coordinator</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Administrative support</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17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w:t>
            </w:r>
          </w:p>
        </w:tc>
        <w:tc>
          <w:tcPr>
            <w:tcW w:type="dxa" w:w="1800"/>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$____________</w:t>
            </w:r>
          </w:p>
        </w:tc>
        <w:tc>
          <w:tcPr>
            <w:tcW w:type="dxa" w:w="338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2.4  Reimbursable Expenses.  </w:t>
      </w:r>
      <w:r>
        <w:rPr>
          <w:rFonts w:ascii="Arial" w:hAnsi="Arial"/>
          <w:color w:val="202C3B"/>
          <w:sz w:val="18"/>
        </w:rPr>
        <w:t>Unless expressly included in the Phase One fee, Owner shall reimburse reasonable Project-specific costs for travel authorized in advance, permit and agency charges, printing and delivery, requested renderings or models, surveys, testing, special studies, outside consultants, and similar direct expenses. Reimbursables are billed at actual cost plus only the markup stated below. Ordinary home-office expense is included in the Phase One fee and is not separately reimbursable.</w:t>
      </w:r>
    </w:p>
    <w:tbl>
      <w:tblPr>
        <w:tblStyle w:val="TableGrid"/>
        <w:tblW w:type="dxa" w:w="9360"/>
        <w:jc w:val="left"/>
        <w:tblLayout w:type="fixed"/>
        <w:tblLook w:firstColumn="1" w:firstRow="1" w:lastColumn="0" w:lastRow="0" w:noHBand="0" w:noVBand="1" w:val="04A0"/>
        <w:tblInd w:w="90" w:type="dxa"/>
      </w:tblPr>
      <w:tblGrid>
        <w:gridCol w:w="4608"/>
        <w:gridCol w:w="4752"/>
      </w:tblGrid>
      <w:tr>
        <w:trPr>
          <w:cantSplit/>
          <w:tblHeader/>
        </w:trPr>
        <w:tc>
          <w:tcPr>
            <w:tcW w:type="dxa" w:w="460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REIMBURSABLE ITEM</w:t>
            </w:r>
          </w:p>
        </w:tc>
        <w:tc>
          <w:tcPr>
            <w:tcW w:type="dxa" w:w="475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MARKUP / APPROVAL RULE</w:t>
            </w:r>
          </w:p>
        </w:tc>
      </w:tr>
      <w:tr>
        <w:trPr>
          <w:cantSplit/>
        </w:trPr>
        <w:tc>
          <w:tcPr>
            <w:tcW w:type="dxa" w:w="46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Consultants and testing</w:t>
            </w:r>
          </w:p>
        </w:tc>
        <w:tc>
          <w:tcPr>
            <w:tcW w:type="dxa" w:w="47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Printing, delivery, and data services</w:t>
            </w:r>
          </w:p>
        </w:tc>
        <w:tc>
          <w:tcPr>
            <w:tcW w:type="dxa" w:w="47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Approved travel</w:t>
            </w:r>
          </w:p>
        </w:tc>
        <w:tc>
          <w:tcPr>
            <w:tcW w:type="dxa" w:w="47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Permits and agency charges</w:t>
            </w:r>
          </w:p>
        </w:tc>
        <w:tc>
          <w:tcPr>
            <w:tcW w:type="dxa" w:w="47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4608"/>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Other direct Project expense</w:t>
            </w:r>
          </w:p>
        </w:tc>
        <w:tc>
          <w:tcPr>
            <w:tcW w:type="dxa" w:w="4752"/>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2.5  Invoices, Disputes, and Payment.  </w:t>
      </w:r>
      <w:r>
        <w:rPr>
          <w:rFonts w:ascii="Arial" w:hAnsi="Arial"/>
          <w:color w:val="202C3B"/>
          <w:sz w:val="18"/>
        </w:rPr>
        <w:t>Design-Builder shall invoice monthly unless another schedule is stated above. Within seven calendar days after receipt, Owner shall identify in writing each disputed line, amount, and reason. Owner shall pay all undisputed amounts no later than fifteen calendar days after receipt. A dispute about one item does not delay payment of any other item. An overdue undisputed amount earns interest at twelve percent per year or the highest lawful rate, whichever is lower. Design-Builder will provide any certified-mail or other notice required by mandatory law.</w:t>
      </w:r>
    </w:p>
    <w:p>
      <w:pPr>
        <w:keepLines w:val="0"/>
        <w:widowControl/>
      </w:pPr>
      <w:r>
        <w:rPr>
          <w:rFonts w:ascii="Arial" w:hAnsi="Arial"/>
          <w:b/>
          <w:color w:val="202C3B"/>
          <w:sz w:val="18"/>
        </w:rPr>
        <w:t xml:space="preserve">2.6  Suspension for Nonpayment.  </w:t>
      </w:r>
      <w:r>
        <w:rPr>
          <w:rFonts w:ascii="Arial" w:hAnsi="Arial"/>
          <w:color w:val="202C3B"/>
          <w:sz w:val="18"/>
        </w:rPr>
        <w:t>If an undisputed amount remains unpaid seven calendar days after Design-Builder gives written notice of nonpayment, Design-Builder may suspend all or affected Phase One services without breach. Owner shall pay the overdue amount, interest, and reasonable shutdown, consultant, storage, restart, and remobilization costs before services resume. All Phase One and later Project dates will be adjusted for the suspension and its effects.</w:t>
      </w:r>
    </w:p>
    <w:p>
      <w:pPr>
        <w:keepLines w:val="0"/>
        <w:widowControl/>
      </w:pPr>
      <w:r>
        <w:rPr>
          <w:rFonts w:ascii="Arial" w:hAnsi="Arial"/>
          <w:b/>
          <w:color w:val="202C3B"/>
          <w:sz w:val="18"/>
        </w:rPr>
        <w:t xml:space="preserve">2.7  Budget Is Not the GMP.  </w:t>
      </w:r>
      <w:r>
        <w:rPr>
          <w:rFonts w:ascii="Arial" w:hAnsi="Arial"/>
          <w:color w:val="202C3B"/>
          <w:sz w:val="18"/>
        </w:rPr>
        <w:t>The Owner's Project budget is a planning and design criterion, not a Contract Sum, GMP, fixed price, not-to-exceed amount, construction authorization, or warranty of final cost. Design-Builder shall use commercially reasonable estimating and value-analysis efforts and shall report known material variances, but pricing depends on design development, site conditions, market conditions, selections, schedule, and the basis stated in the GMP proposal. Only the signed Exhibit A establishes the construction Contract Sum.</w:t>
      </w:r>
    </w:p>
    <w:p>
      <w:pPr>
        <w:keepLines w:val="0"/>
        <w:widowControl/>
      </w:pPr>
      <w:r>
        <w:rPr>
          <w:rFonts w:ascii="Arial" w:hAnsi="Arial"/>
          <w:b/>
          <w:color w:val="202C3B"/>
          <w:sz w:val="18"/>
        </w:rPr>
        <w:t xml:space="preserve">2.8  Phase One Records.  </w:t>
      </w:r>
      <w:r>
        <w:rPr>
          <w:rFonts w:ascii="Arial" w:hAnsi="Arial"/>
          <w:color w:val="202C3B"/>
          <w:sz w:val="18"/>
        </w:rPr>
        <w:t>Design-Builder shall retain Project-specific records supporting hourly services and reimbursable expenses for two years after Exhibit A or termination, whichever occurs first. Review is limited to those records, will occur on reasonable notice during ordinary business hours, and shall protect payroll privacy, privileged information, proprietary rate build-ups, and unrelated business records.</w:t>
      </w:r>
    </w:p>
    <w:p>
      <w:pPr>
        <w:pStyle w:val="Heading1"/>
      </w:pPr>
      <w:r>
        <w:t>ARTICLE 3  |  DESIGN-BUILDER STANDARDS AND ADMINISTRATION</w:t>
      </w:r>
    </w:p>
    <w:p>
      <w:pPr>
        <w:keepLines w:val="0"/>
        <w:widowControl/>
      </w:pPr>
      <w:r>
        <w:rPr>
          <w:rFonts w:ascii="Arial" w:hAnsi="Arial"/>
          <w:b/>
          <w:color w:val="202C3B"/>
          <w:sz w:val="18"/>
        </w:rPr>
        <w:t xml:space="preserve">3.1  Licensing and Authority.  </w:t>
      </w:r>
      <w:r>
        <w:rPr>
          <w:rFonts w:ascii="Arial" w:hAnsi="Arial"/>
          <w:color w:val="202C3B"/>
          <w:sz w:val="18"/>
        </w:rPr>
        <w:t>Design-Builder shall maintain licenses required for the services it performs and shall designate an authorized Project representative. Professional services shall be performed, supervised, signed, and sealed by Design Professionals licensed where required. Design-Builder may replace a team member for availability, performance, or Project need with a reasonably qualified replacement.</w:t>
      </w:r>
    </w:p>
    <w:p>
      <w:pPr>
        <w:keepLines w:val="0"/>
        <w:widowControl/>
      </w:pPr>
      <w:r>
        <w:rPr>
          <w:rFonts w:ascii="Arial" w:hAnsi="Arial"/>
          <w:b/>
          <w:color w:val="202C3B"/>
          <w:sz w:val="18"/>
        </w:rPr>
        <w:t xml:space="preserve">3.2  Professional Standard of Care.  </w:t>
      </w:r>
      <w:r>
        <w:rPr>
          <w:rFonts w:ascii="Arial" w:hAnsi="Arial"/>
          <w:color w:val="202C3B"/>
          <w:sz w:val="18"/>
        </w:rPr>
        <w:t>Professional services will be performed with the ordinary skill and care used by similarly situated licensed professionals performing comparable services under similar conditions at the same time and place. Professional services are not subject to a guarantee of perfection, permit approval, exact estimate, uninterrupted schedule, or a particular result. Construction warranties do not enlarge the professional standard of care.</w:t>
      </w:r>
    </w:p>
    <w:p>
      <w:pPr>
        <w:keepLines w:val="0"/>
        <w:widowControl/>
      </w:pPr>
      <w:r>
        <w:rPr>
          <w:rFonts w:ascii="Arial" w:hAnsi="Arial"/>
          <w:b/>
          <w:color w:val="202C3B"/>
          <w:sz w:val="18"/>
        </w:rPr>
        <w:t xml:space="preserve">3.3  Design Coordination.  </w:t>
      </w:r>
      <w:r>
        <w:rPr>
          <w:rFonts w:ascii="Arial" w:hAnsi="Arial"/>
          <w:color w:val="202C3B"/>
          <w:sz w:val="18"/>
        </w:rPr>
        <w:t>Design-Builder shall coordinate the services of its Design Professionals and consultants and shall develop design submissions to the level agreed for each phase. Design-Builder is responsible for internal coordination of its design disciplines, but may rely on the accuracy of Owner-furnished surveys, geotechnical data, hazardous-material information, title data, utility information, existing-condition documentation, and criteria unless an inconsistency is reasonably apparent.</w:t>
      </w:r>
    </w:p>
    <w:p>
      <w:pPr>
        <w:keepLines w:val="0"/>
        <w:widowControl/>
      </w:pPr>
      <w:r>
        <w:rPr>
          <w:rFonts w:ascii="Arial" w:hAnsi="Arial"/>
          <w:b/>
          <w:color w:val="202C3B"/>
          <w:sz w:val="18"/>
        </w:rPr>
        <w:t xml:space="preserve">3.4  Legal and Code Compliance.  </w:t>
      </w:r>
      <w:r>
        <w:rPr>
          <w:rFonts w:ascii="Arial" w:hAnsi="Arial"/>
          <w:color w:val="202C3B"/>
          <w:sz w:val="18"/>
        </w:rPr>
        <w:t>Design-Builder shall perform the Work in general compliance with laws, codes, and lawful orders applicable when the relevant design or Work is performed. If the Owner Criteria or a direction conflicts with law, safety, or a permit condition, Design-Builder shall notify Owner and may stop the affected activity until the parties issue a written resolution. A change required by a code edition, interpretation, or authority requirement not reasonably known at the pricing date is handled as a Change.</w:t>
      </w:r>
    </w:p>
    <w:p>
      <w:pPr>
        <w:keepLines w:val="0"/>
        <w:widowControl/>
      </w:pPr>
      <w:r>
        <w:rPr>
          <w:rFonts w:ascii="Arial" w:hAnsi="Arial"/>
          <w:b/>
          <w:color w:val="202C3B"/>
          <w:sz w:val="18"/>
        </w:rPr>
        <w:t xml:space="preserve">3.5  Responsibility for Project Participants.  </w:t>
      </w:r>
      <w:r>
        <w:rPr>
          <w:rFonts w:ascii="Arial" w:hAnsi="Arial"/>
          <w:color w:val="202C3B"/>
          <w:sz w:val="18"/>
        </w:rPr>
        <w:t>Design-Builder remains responsible to Owner for the acts and omissions of its employees, Design Professionals, consultants, subcontractors, suppliers, and persons performing Work under it to the same extent Design-Builder would be responsible for its own comparable conduct. Selection or review by Owner does not create a direct contract or release Design-Builder's coordination duty.</w:t>
      </w:r>
    </w:p>
    <w:p>
      <w:pPr>
        <w:keepLines w:val="0"/>
        <w:widowControl/>
      </w:pPr>
      <w:r>
        <w:rPr>
          <w:rFonts w:ascii="Arial" w:hAnsi="Arial"/>
          <w:b/>
          <w:color w:val="202C3B"/>
          <w:sz w:val="18"/>
        </w:rPr>
        <w:t xml:space="preserve">3.6  Meetings and Decisions.  </w:t>
      </w:r>
      <w:r>
        <w:rPr>
          <w:rFonts w:ascii="Arial" w:hAnsi="Arial"/>
          <w:color w:val="202C3B"/>
          <w:sz w:val="18"/>
        </w:rPr>
        <w:t>Design-Builder shall conduct the Project meetings reasonably required for design, estimating, procurement, construction, commissioning, and closeout. Meeting records are for coordination and do not amend the Contract unless the record clearly identifies a proposed contractual change and both parties sign a Change Order or Modification.</w:t>
      </w:r>
    </w:p>
    <w:p>
      <w:pPr>
        <w:keepLines w:val="0"/>
        <w:widowControl/>
      </w:pPr>
      <w:r>
        <w:rPr>
          <w:rFonts w:ascii="Arial" w:hAnsi="Arial"/>
          <w:b/>
          <w:color w:val="202C3B"/>
          <w:sz w:val="18"/>
        </w:rPr>
        <w:t xml:space="preserve">3.7  Project Reporting.  </w:t>
      </w:r>
      <w:r>
        <w:rPr>
          <w:rFonts w:ascii="Arial" w:hAnsi="Arial"/>
          <w:color w:val="202C3B"/>
          <w:sz w:val="18"/>
        </w:rPr>
        <w:t>Before Exhibit A, Design-Builder shall report at least monthly and at key design milestones. After Exhibit A, Design-Builder shall issue a concise weekly report unless the parties state another frequency. Reports will address design status, Owner decisions, permits, procurement, schedule, completed Work, near-term activities, RFIs and submittals, changes, allowances and contingencies, cost trends, safety, testing, and material risks.</w:t>
      </w:r>
    </w:p>
    <w:p>
      <w:pPr>
        <w:keepLines w:val="0"/>
        <w:widowControl/>
      </w:pPr>
      <w:r>
        <w:rPr>
          <w:rFonts w:ascii="Arial" w:hAnsi="Arial"/>
          <w:b/>
          <w:color w:val="202C3B"/>
          <w:sz w:val="18"/>
        </w:rPr>
        <w:t xml:space="preserve">3.8  Schedule.  </w:t>
      </w:r>
      <w:r>
        <w:rPr>
          <w:rFonts w:ascii="Arial" w:hAnsi="Arial"/>
          <w:color w:val="202C3B"/>
          <w:sz w:val="18"/>
        </w:rPr>
        <w:t>Design-Builder shall prepare and update a coordinated schedule that includes Owner criteria and decisions, design submissions and reviews, permits, pricing, procurement, construction, testing, Substantial Completion, and Final Completion. The schedule shall identify activities on the critical path where reasonably practicable. Design-Builder will perform in general accordance with the latest accepted schedule, subject to authorized adjustments.</w:t>
      </w:r>
    </w:p>
    <w:p>
      <w:pPr>
        <w:keepLines w:val="0"/>
        <w:widowControl/>
      </w:pPr>
      <w:r>
        <w:rPr>
          <w:rFonts w:ascii="Arial" w:hAnsi="Arial"/>
          <w:b/>
          <w:color w:val="202C3B"/>
          <w:sz w:val="18"/>
        </w:rPr>
        <w:t xml:space="preserve">3.9  Submittals.  </w:t>
      </w:r>
      <w:r>
        <w:rPr>
          <w:rFonts w:ascii="Arial" w:hAnsi="Arial"/>
          <w:color w:val="202C3B"/>
          <w:sz w:val="18"/>
        </w:rPr>
        <w:t>Design-Builder shall maintain a submittal schedule and review shop drawings, product data, samples, delegated design, and other submittals for coordination with the Contract before any required Owner review. Owner's review is limited to general conformity with the accepted design and does not transfer responsibility for dimensions, quantities, fabrication, installation, safety, means and methods, or professional services.</w:t>
      </w:r>
    </w:p>
    <w:p>
      <w:pPr>
        <w:keepLines w:val="0"/>
        <w:widowControl/>
      </w:pPr>
      <w:r>
        <w:rPr>
          <w:rFonts w:ascii="Arial" w:hAnsi="Arial"/>
          <w:b/>
          <w:color w:val="202C3B"/>
          <w:sz w:val="18"/>
        </w:rPr>
        <w:t xml:space="preserve">3.10  Certifications.  </w:t>
      </w:r>
      <w:r>
        <w:rPr>
          <w:rFonts w:ascii="Arial" w:hAnsi="Arial"/>
          <w:color w:val="202C3B"/>
          <w:sz w:val="18"/>
        </w:rPr>
        <w:t>A certification by Design-Builder or a Design Professional is limited to matters within that person's services and knowledge and is based on reasonable professional observation or review. No person is required to certify facts it cannot reasonably verify or matters outside its contractual scope.</w:t>
      </w:r>
    </w:p>
    <w:p>
      <w:pPr>
        <w:keepLines w:val="0"/>
        <w:widowControl/>
      </w:pPr>
      <w:r>
        <w:rPr>
          <w:rFonts w:ascii="Arial" w:hAnsi="Arial"/>
          <w:b/>
          <w:color w:val="202C3B"/>
          <w:sz w:val="18"/>
        </w:rPr>
        <w:t xml:space="preserve">3.11  Construction Warranty.  </w:t>
      </w:r>
      <w:r>
        <w:rPr>
          <w:rFonts w:ascii="Arial" w:hAnsi="Arial"/>
          <w:color w:val="202C3B"/>
          <w:sz w:val="18"/>
        </w:rPr>
        <w:t>Design-Builder warrants that construction materials and equipment will be new unless the Contract permits otherwise, will be of the quality required by the Contract, and will be free from material defects not inherent in the specified quality. Construction will materially conform to the Contract. The warranty excludes damage caused by abuse, unauthorized alteration, improper maintenance, normal wear, or operation contrary to written instructions.</w:t>
      </w:r>
    </w:p>
    <w:p>
      <w:pPr>
        <w:keepLines w:val="0"/>
        <w:widowControl/>
      </w:pPr>
      <w:r>
        <w:rPr>
          <w:rFonts w:ascii="Arial" w:hAnsi="Arial"/>
          <w:b/>
          <w:color w:val="202C3B"/>
          <w:sz w:val="18"/>
        </w:rPr>
        <w:t xml:space="preserve">3.12  Royalties and Intellectual Property Claims.  </w:t>
      </w:r>
      <w:r>
        <w:rPr>
          <w:rFonts w:ascii="Arial" w:hAnsi="Arial"/>
          <w:color w:val="202C3B"/>
          <w:sz w:val="18"/>
        </w:rPr>
        <w:t>Design-Builder shall pay royalties and license fees for products or methods selected by Design-Builder. Each party is responsible for infringement claims arising from design requirements, products, processes, or information it specifically furnished, except to the extent the other party knew of a likely infringement and did not provide prompt notice.</w:t>
      </w:r>
    </w:p>
    <w:p>
      <w:pPr>
        <w:keepLines w:val="0"/>
        <w:widowControl/>
      </w:pPr>
      <w:r>
        <w:rPr>
          <w:rFonts w:ascii="Arial" w:hAnsi="Arial"/>
          <w:b/>
          <w:color w:val="202C3B"/>
          <w:sz w:val="18"/>
        </w:rPr>
        <w:t xml:space="preserve">3.13  Mutual Indemnity.  </w:t>
      </w:r>
      <w:r>
        <w:rPr>
          <w:rFonts w:ascii="Arial" w:hAnsi="Arial"/>
          <w:color w:val="202C3B"/>
          <w:sz w:val="18"/>
        </w:rPr>
        <w:t>To the fullest extent permitted by law, each party shall indemnify the other and the other's officers and employees from third-party claims for bodily injury, death, or tangible property damage, but only to the extent caused by the indemnifying party's negligent acts or omissions or those of persons for whom it is legally responsible. No indemnity extends to the indemnitee's own negligence or to liability prohibited by applicable law. Defense obligations apply only to the indemnified share of an asserted claim.</w:t>
      </w:r>
    </w:p>
    <w:p>
      <w:pPr>
        <w:keepLines w:val="0"/>
        <w:widowControl/>
      </w:pPr>
      <w:r>
        <w:rPr>
          <w:rFonts w:ascii="Arial" w:hAnsi="Arial"/>
          <w:b/>
          <w:color w:val="202C3B"/>
          <w:sz w:val="18"/>
        </w:rPr>
        <w:t xml:space="preserve">3.14  Conditional Assignment.  </w:t>
      </w:r>
      <w:r>
        <w:rPr>
          <w:rFonts w:ascii="Arial" w:hAnsi="Arial"/>
          <w:color w:val="202C3B"/>
          <w:sz w:val="18"/>
        </w:rPr>
        <w:t>Design-Builder's Project subcontracts and consultant agreements are conditionally assigned to Owner only if Owner terminates Design-Builder for cause, accepts a specific assignment in writing, and assumes post-assignment obligations. Design-Builder may include reasonable consent, suspension, and payment conditions in those agreements. An assignment does not release Owner from amounts owed to Design-Builder.</w:t>
      </w:r>
    </w:p>
    <w:p>
      <w:pPr>
        <w:keepLines w:val="0"/>
        <w:widowControl/>
      </w:pPr>
      <w:r>
        <w:rPr>
          <w:rFonts w:ascii="Arial" w:hAnsi="Arial"/>
          <w:b/>
          <w:color w:val="202C3B"/>
          <w:sz w:val="18"/>
        </w:rPr>
        <w:t xml:space="preserve">3.15  Insurance and Bonds.  </w:t>
      </w:r>
      <w:r>
        <w:rPr>
          <w:rFonts w:ascii="Arial" w:hAnsi="Arial"/>
          <w:color w:val="202C3B"/>
          <w:sz w:val="18"/>
        </w:rPr>
        <w:t>Before a related exposure begins, Design-Builder and its Design Professionals shall maintain insurance customary for the Work and the limits stated in Exhibit A. Builder's risk, additional-insured status, waivers of subrogation, payment bonds, performance bonds, and other Project-specific requirements apply only if stated in Exhibit A or another signed attachment. Premium changes caused by Owner revisions are Changes.</w:t>
      </w:r>
    </w:p>
    <w:p>
      <w:pPr>
        <w:keepLines w:val="0"/>
        <w:widowControl/>
      </w:pPr>
      <w:r>
        <w:rPr>
          <w:rFonts w:ascii="Arial" w:hAnsi="Arial"/>
          <w:b/>
          <w:color w:val="202C3B"/>
          <w:sz w:val="18"/>
        </w:rPr>
        <w:t xml:space="preserve">3.16  Confidential Information.  </w:t>
      </w:r>
      <w:r>
        <w:rPr>
          <w:rFonts w:ascii="Arial" w:hAnsi="Arial"/>
          <w:color w:val="202C3B"/>
          <w:sz w:val="18"/>
        </w:rPr>
        <w:t>A party receiving information clearly identified as confidential shall use it only for the Project and shall protect it with reasonable care. Disclosure is permitted to Project participants with a need to know, insurers, sureties, lenders, professional advisors, and governmental authorities, or as required by law. Information already known without restriction, independently developed, or lawfully received from another source is not confidential.</w:t>
      </w:r>
    </w:p>
    <w:p>
      <w:pPr>
        <w:pStyle w:val="Heading1"/>
      </w:pPr>
      <w:r>
        <w:t>ARTICLE 4  |  PRE-GMP SERVICES AND PROPOSAL</w:t>
      </w:r>
    </w:p>
    <w:p>
      <w:pPr>
        <w:keepLines w:val="0"/>
        <w:widowControl/>
      </w:pPr>
      <w:r>
        <w:rPr>
          <w:rFonts w:ascii="Arial" w:hAnsi="Arial"/>
          <w:b/>
          <w:color w:val="202C3B"/>
          <w:sz w:val="18"/>
        </w:rPr>
        <w:t xml:space="preserve">4.1  Phase One Purpose.  </w:t>
      </w:r>
      <w:r>
        <w:rPr>
          <w:rFonts w:ascii="Arial" w:hAnsi="Arial"/>
          <w:color w:val="202C3B"/>
          <w:sz w:val="18"/>
        </w:rPr>
        <w:t>Phase One information and interim Owner decisions guide design and pricing. They do not modify the Owner Criteria or authorize construction unless documented in a signed Modification or early-work authorization.</w:t>
      </w:r>
    </w:p>
    <w:p>
      <w:pPr>
        <w:keepLines w:val="0"/>
        <w:widowControl/>
      </w:pPr>
      <w:r>
        <w:rPr>
          <w:rFonts w:ascii="Arial" w:hAnsi="Arial"/>
          <w:b/>
          <w:color w:val="202C3B"/>
          <w:sz w:val="18"/>
        </w:rPr>
        <w:t xml:space="preserve">4.2  Criteria Evaluation.  </w:t>
      </w:r>
      <w:r>
        <w:rPr>
          <w:rFonts w:ascii="Arial" w:hAnsi="Arial"/>
          <w:color w:val="202C3B"/>
          <w:sz w:val="18"/>
        </w:rPr>
        <w:t>Design-Builder shall meet with Owner and evaluate the program, site information, permitting path, design approach, systems, materials, phasing, schedule, budget, procurement risks, and available alternatives. The evaluation will consider constructability, lifecycle considerations requested by Owner, market conditions, long-lead items, and opportunities to simplify or improve value.</w:t>
      </w:r>
    </w:p>
    <w:p>
      <w:pPr>
        <w:keepLines w:val="0"/>
        <w:widowControl/>
      </w:pPr>
      <w:r>
        <w:rPr>
          <w:rFonts w:ascii="Arial" w:hAnsi="Arial"/>
          <w:b/>
          <w:color w:val="202C3B"/>
          <w:sz w:val="18"/>
        </w:rPr>
        <w:t xml:space="preserve">4.3  Preliminary Report.  </w:t>
      </w:r>
      <w:r>
        <w:rPr>
          <w:rFonts w:ascii="Arial" w:hAnsi="Arial"/>
          <w:color w:val="202C3B"/>
          <w:sz w:val="18"/>
        </w:rPr>
        <w:t>Design-Builder shall provide a written report or coordinated set of submissions describing the current program allocation, preliminary estimate, design and procurement schedule, required Owner decisions, known assumptions and exclusions, major risks, and recommendations for alignment with the budget and schedule. The report is an evolving planning document, not a final price.</w:t>
      </w:r>
    </w:p>
    <w:p>
      <w:pPr>
        <w:keepLines w:val="0"/>
        <w:widowControl/>
      </w:pPr>
      <w:r>
        <w:rPr>
          <w:rFonts w:ascii="Arial" w:hAnsi="Arial"/>
          <w:b/>
          <w:color w:val="202C3B"/>
          <w:sz w:val="18"/>
        </w:rPr>
        <w:t xml:space="preserve">4.4  Design Development.  </w:t>
      </w:r>
      <w:r>
        <w:rPr>
          <w:rFonts w:ascii="Arial" w:hAnsi="Arial"/>
          <w:color w:val="202C3B"/>
          <w:sz w:val="18"/>
        </w:rPr>
        <w:t>After Owner authorizes advancement, Design-Builder shall prepare the selected Phase One design deliverables. As appropriate to the agreed level, the submissions may include site planning, floor plans, elevations, sections, structural approach, major building systems, outline specifications, equipment criteria, finish direction, and other information sufficient for coordinated pricing. Design-Builder shall identify material departures from the Owner Criteria.</w:t>
      </w:r>
    </w:p>
    <w:p>
      <w:pPr>
        <w:keepLines w:val="0"/>
        <w:widowControl/>
      </w:pPr>
      <w:r>
        <w:rPr>
          <w:rFonts w:ascii="Arial" w:hAnsi="Arial"/>
          <w:b/>
          <w:color w:val="202C3B"/>
          <w:sz w:val="18"/>
        </w:rPr>
        <w:t xml:space="preserve">4.5  Owner Review.  </w:t>
      </w:r>
      <w:r>
        <w:rPr>
          <w:rFonts w:ascii="Arial" w:hAnsi="Arial"/>
          <w:color w:val="202C3B"/>
          <w:sz w:val="18"/>
        </w:rPr>
        <w:t>Owner shall review each submission within the time shown in the accepted schedule, provide one coordinated written response, make selections, and authorize advancement. Owner review is not a technical, safety, code, or means-and-methods review. A late response, inconsistent response, or requested redesign may adjust compensation and schedule.</w:t>
      </w:r>
    </w:p>
    <w:p>
      <w:pPr>
        <w:keepLines w:val="0"/>
        <w:widowControl/>
      </w:pPr>
      <w:r>
        <w:rPr>
          <w:rFonts w:ascii="Arial" w:hAnsi="Arial"/>
          <w:b/>
          <w:color w:val="202C3B"/>
          <w:sz w:val="18"/>
        </w:rPr>
        <w:t xml:space="preserve">4.6  GMP Proposal Contents.  </w:t>
      </w:r>
      <w:r>
        <w:rPr>
          <w:rFonts w:ascii="Arial" w:hAnsi="Arial"/>
          <w:color w:val="202C3B"/>
          <w:sz w:val="18"/>
        </w:rPr>
        <w:t>When the design reaches the agreed pricing level, Design-Builder shall submit a written GMP proposal containing the following, organized so the information can be transferred directly into Exhibit A:</w:t>
      </w:r>
    </w:p>
    <w:p>
      <w:pPr>
        <w:pStyle w:val="ListBullet"/>
      </w:pPr>
      <w:r>
        <w:t>The proposed GMP and an itemized trade and cost-category breakdown.</w:t>
      </w:r>
    </w:p>
    <w:p>
      <w:pPr>
        <w:pStyle w:val="ListBullet"/>
      </w:pPr>
      <w:r>
        <w:t>Design-Builder's Fee, design costs, general conditions, insurance, bonds, allowances, and contingencies shown separately.</w:t>
      </w:r>
    </w:p>
    <w:p>
      <w:pPr>
        <w:pStyle w:val="ListBullet"/>
      </w:pPr>
      <w:r>
        <w:t>The drawings, specifications, narratives, reports, estimate, schedule, and other information on which the proposal is based.</w:t>
      </w:r>
    </w:p>
    <w:p>
      <w:pPr>
        <w:pStyle w:val="ListBullet"/>
      </w:pPr>
      <w:r>
        <w:t>Assumptions, clarifications, exclusions, accepted alternatives, unit prices, and identified deferred or unpriced scope.</w:t>
      </w:r>
    </w:p>
    <w:p>
      <w:pPr>
        <w:pStyle w:val="ListBullet"/>
      </w:pPr>
      <w:r>
        <w:t>Proposed commencement, milestones, Substantial Completion, Final Completion, and material schedule qualifications.</w:t>
      </w:r>
    </w:p>
    <w:p>
      <w:pPr>
        <w:pStyle w:val="ListBullet"/>
      </w:pPr>
      <w:r>
        <w:t>Allowances and contingencies with their intended purpose and cost components.</w:t>
      </w:r>
    </w:p>
    <w:p>
      <w:pPr>
        <w:pStyle w:val="ListBullet"/>
      </w:pPr>
      <w:r>
        <w:t>Project team and major design, subcontract, and supplier participants then known.</w:t>
      </w:r>
    </w:p>
    <w:p>
      <w:pPr>
        <w:pStyle w:val="ListBullet"/>
      </w:pPr>
      <w:r>
        <w:t>A stated expiration date and any escalation, tariff, labor, material, or market condition tied to acceptance.</w:t>
      </w:r>
    </w:p>
    <w:p>
      <w:pPr>
        <w:keepLines w:val="0"/>
        <w:widowControl/>
      </w:pPr>
      <w:r>
        <w:rPr>
          <w:rFonts w:ascii="Arial" w:hAnsi="Arial"/>
          <w:b/>
          <w:color w:val="202C3B"/>
          <w:sz w:val="18"/>
        </w:rPr>
        <w:t xml:space="preserve">4.7  Proposal Reliance and Expiration.  </w:t>
      </w:r>
      <w:r>
        <w:rPr>
          <w:rFonts w:ascii="Arial" w:hAnsi="Arial"/>
          <w:color w:val="202C3B"/>
          <w:sz w:val="18"/>
        </w:rPr>
        <w:t>Submission of the GMP proposal represents that Design-Builder has reviewed the listed pricing documents and visited the site to the extent reasonably necessary for the proposal. It does not represent that Design-Builder has discovered concealed conditions or verified Owner-furnished information by destructive or exhaustive investigation. If the proposal expires before acceptance, Design-Builder may update price, schedule, procurement assumptions, and availability.</w:t>
      </w:r>
    </w:p>
    <w:p>
      <w:pPr>
        <w:keepLines w:val="0"/>
        <w:widowControl/>
      </w:pPr>
      <w:r>
        <w:rPr>
          <w:rFonts w:ascii="Arial" w:hAnsi="Arial"/>
          <w:b/>
          <w:color w:val="202C3B"/>
          <w:sz w:val="18"/>
        </w:rPr>
        <w:t xml:space="preserve">4.8  Acceptance Through Exhibit A.  </w:t>
      </w:r>
      <w:r>
        <w:rPr>
          <w:rFonts w:ascii="Arial" w:hAnsi="Arial"/>
          <w:color w:val="202C3B"/>
          <w:sz w:val="18"/>
        </w:rPr>
        <w:t>The GMP proposal becomes binding only when the parties sign Exhibit A. Owner may accept, reject, or request revision. Design-Builder is not required to hold pricing, procure work, or commence construction during unresolved negotiation unless separately authorized and funded.</w:t>
      </w:r>
    </w:p>
    <w:p>
      <w:pPr>
        <w:keepLines w:val="0"/>
        <w:widowControl/>
      </w:pPr>
      <w:r>
        <w:rPr>
          <w:rFonts w:ascii="Arial" w:hAnsi="Arial"/>
          <w:b/>
          <w:color w:val="202C3B"/>
          <w:sz w:val="18"/>
        </w:rPr>
        <w:t xml:space="preserve">4.9  Early Work.  </w:t>
      </w:r>
      <w:r>
        <w:rPr>
          <w:rFonts w:ascii="Arial" w:hAnsi="Arial"/>
          <w:color w:val="202C3B"/>
          <w:sz w:val="18"/>
        </w:rPr>
        <w:t>Before Exhibit A, Owner may authorize a defined early-work package by a writing that states scope, price or pricing basis, schedule, insurance, and payment terms. Early Work is governed by this Agreement, is paid separately unless Exhibit A expressly incorporates it, and does not create a GMP for the balance of the Project.</w:t>
      </w:r>
    </w:p>
    <w:p>
      <w:pPr>
        <w:pStyle w:val="Heading1"/>
      </w:pPr>
      <w:r>
        <w:t>ARTICLE 5  |  CONSTRUCTION-PHASE WORK</w:t>
      </w:r>
    </w:p>
    <w:p>
      <w:pPr>
        <w:keepLines w:val="0"/>
        <w:widowControl/>
      </w:pPr>
      <w:r>
        <w:rPr>
          <w:rFonts w:ascii="Arial" w:hAnsi="Arial"/>
          <w:b/>
          <w:color w:val="202C3B"/>
          <w:sz w:val="18"/>
        </w:rPr>
        <w:t xml:space="preserve">5.1  Construction Documents.  </w:t>
      </w:r>
      <w:r>
        <w:rPr>
          <w:rFonts w:ascii="Arial" w:hAnsi="Arial"/>
          <w:color w:val="202C3B"/>
          <w:sz w:val="18"/>
        </w:rPr>
        <w:t>After Exhibit A, Design-Builder shall complete and coordinate the construction documents to implement the accepted design and pricing basis. The documents may refine details without changing the accepted scope, quality, performance, or pricing assumptions. A material departure requires a Change Order. Design-Builder shall notify Owner of a discovered inconsistency between later construction documents and Exhibit A.</w:t>
      </w:r>
    </w:p>
    <w:p>
      <w:pPr>
        <w:keepLines w:val="0"/>
        <w:widowControl/>
      </w:pPr>
      <w:r>
        <w:rPr>
          <w:rFonts w:ascii="Arial" w:hAnsi="Arial"/>
          <w:b/>
          <w:color w:val="202C3B"/>
          <w:sz w:val="18"/>
        </w:rPr>
        <w:t xml:space="preserve">5.2  Commencement.  </w:t>
      </w:r>
      <w:r>
        <w:rPr>
          <w:rFonts w:ascii="Arial" w:hAnsi="Arial"/>
          <w:color w:val="202C3B"/>
          <w:sz w:val="18"/>
        </w:rPr>
        <w:t>Construction shall not begin until Exhibit A is signed, the required upfront or initial construction payment is received, permits and access reasonably necessary for the starting work are available, required insurance is in place, and any stated condition precedent is satisfied. Design-Builder may perform authorized procurement or Early Work before general commencement.</w:t>
      </w:r>
    </w:p>
    <w:p>
      <w:pPr>
        <w:keepLines w:val="0"/>
        <w:widowControl/>
      </w:pPr>
      <w:r>
        <w:rPr>
          <w:rFonts w:ascii="Arial" w:hAnsi="Arial"/>
          <w:b/>
          <w:color w:val="202C3B"/>
          <w:sz w:val="18"/>
        </w:rPr>
        <w:t xml:space="preserve">5.3  Supervision and Means.  </w:t>
      </w:r>
      <w:r>
        <w:rPr>
          <w:rFonts w:ascii="Arial" w:hAnsi="Arial"/>
          <w:color w:val="202C3B"/>
          <w:sz w:val="18"/>
        </w:rPr>
        <w:t>Design-Builder shall supervise and direct construction and is responsible for construction means, methods, sequences, and procedures, except for a specific method mandated by Owner or the Contract. Design-Builder is solely responsible for the acts of its construction workforce and for coordinating the Work under its control.</w:t>
      </w:r>
    </w:p>
    <w:p>
      <w:pPr>
        <w:keepLines w:val="0"/>
        <w:widowControl/>
      </w:pPr>
      <w:r>
        <w:rPr>
          <w:rFonts w:ascii="Arial" w:hAnsi="Arial"/>
          <w:b/>
          <w:color w:val="202C3B"/>
          <w:sz w:val="18"/>
        </w:rPr>
        <w:t xml:space="preserve">5.4  Labor, Materials, and Substitutions.  </w:t>
      </w:r>
      <w:r>
        <w:rPr>
          <w:rFonts w:ascii="Arial" w:hAnsi="Arial"/>
          <w:color w:val="202C3B"/>
          <w:sz w:val="18"/>
        </w:rPr>
        <w:t>Design-Builder shall furnish the labor, materials, equipment, temporary facilities, supervision, and services required for the Work. A proposed substitution shall identify material effects on appearance, performance, maintenance, warranty, price, and time. Owner approval does not shift responsibility for the proposed substitution.</w:t>
      </w:r>
    </w:p>
    <w:p>
      <w:pPr>
        <w:keepLines w:val="0"/>
        <w:widowControl/>
      </w:pPr>
      <w:r>
        <w:rPr>
          <w:rFonts w:ascii="Arial" w:hAnsi="Arial"/>
          <w:b/>
          <w:color w:val="202C3B"/>
          <w:sz w:val="18"/>
        </w:rPr>
        <w:t xml:space="preserve">5.5  Taxes.  </w:t>
      </w:r>
      <w:r>
        <w:rPr>
          <w:rFonts w:ascii="Arial" w:hAnsi="Arial"/>
          <w:color w:val="202C3B"/>
          <w:sz w:val="18"/>
        </w:rPr>
        <w:t>The Contract Sum includes sales, use, and similar taxes legally applicable to the Work as of the GMP pricing date unless Exhibit A states otherwise. A new tax, changed rate, changed interpretation, or exemption failure caused by inaccurate Owner information is a Change.</w:t>
      </w:r>
    </w:p>
    <w:p>
      <w:pPr>
        <w:keepLines w:val="0"/>
        <w:widowControl/>
      </w:pPr>
      <w:r>
        <w:rPr>
          <w:rFonts w:ascii="Arial" w:hAnsi="Arial"/>
          <w:b/>
          <w:color w:val="202C3B"/>
          <w:sz w:val="18"/>
        </w:rPr>
        <w:t xml:space="preserve">5.6  Permits and Approvals.  </w:t>
      </w:r>
      <w:r>
        <w:rPr>
          <w:rFonts w:ascii="Arial" w:hAnsi="Arial"/>
          <w:color w:val="202C3B"/>
          <w:sz w:val="18"/>
        </w:rPr>
        <w:t>Unless Exhibit A allocates an item to Owner, Design-Builder shall obtain and pay for the building permit and construction permits required for its Work. Owner shall obtain land-use entitlements, easements, zoning approvals, financing approvals, and approvals tied to Owner's legal status or property rights. Each party shall cooperate with the other.</w:t>
      </w:r>
    </w:p>
    <w:p>
      <w:pPr>
        <w:keepLines w:val="0"/>
        <w:widowControl/>
      </w:pPr>
      <w:r>
        <w:rPr>
          <w:rFonts w:ascii="Arial" w:hAnsi="Arial"/>
          <w:b/>
          <w:color w:val="202C3B"/>
          <w:sz w:val="18"/>
        </w:rPr>
        <w:t xml:space="preserve">5.7  Concealed and Unknown Conditions.  </w:t>
      </w:r>
      <w:r>
        <w:rPr>
          <w:rFonts w:ascii="Arial" w:hAnsi="Arial"/>
          <w:color w:val="202C3B"/>
          <w:sz w:val="18"/>
        </w:rPr>
        <w:t>If Design-Builder encounters subsurface or concealed conditions materially different from the information listed in Exhibit A or from conditions ordinarily expected for the type of Work, it shall protect the condition and notify Owner before materially disturbing it. The parties shall investigate promptly. Price and time will be adjusted for a qualifying condition, including investigation, protection, redesign, remediation, and resulting delay.</w:t>
      </w:r>
    </w:p>
    <w:p>
      <w:pPr>
        <w:keepLines w:val="0"/>
        <w:widowControl/>
      </w:pPr>
      <w:r>
        <w:rPr>
          <w:rFonts w:ascii="Arial" w:hAnsi="Arial"/>
          <w:b/>
          <w:color w:val="202C3B"/>
          <w:sz w:val="18"/>
        </w:rPr>
        <w:t xml:space="preserve">5.8  Archaeological Materials and Human Remains.  </w:t>
      </w:r>
      <w:r>
        <w:rPr>
          <w:rFonts w:ascii="Arial" w:hAnsi="Arial"/>
          <w:color w:val="202C3B"/>
          <w:sz w:val="18"/>
        </w:rPr>
        <w:t>Design-Builder shall stop affected Work and notify Owner if it encounters suspected human remains, archaeological materials, or legally protected artifacts. Owner shall obtain required governmental direction. The resulting cost and time are a Change unless the condition was introduced by Design-Builder.</w:t>
      </w:r>
    </w:p>
    <w:p>
      <w:pPr>
        <w:keepLines w:val="0"/>
        <w:widowControl/>
      </w:pPr>
      <w:r>
        <w:rPr>
          <w:rFonts w:ascii="Arial" w:hAnsi="Arial"/>
          <w:b/>
          <w:color w:val="202C3B"/>
          <w:sz w:val="18"/>
        </w:rPr>
        <w:t xml:space="preserve">5.9  Allowances.  </w:t>
      </w:r>
      <w:r>
        <w:rPr>
          <w:rFonts w:ascii="Arial" w:hAnsi="Arial"/>
          <w:color w:val="202C3B"/>
          <w:sz w:val="18"/>
        </w:rPr>
        <w:t>An allowance includes only the cost components identified in Exhibit A. Unless stated otherwise, delivery, installation, taxes, supervision, general conditions, and Design-Builder's Fee are outside the allowance but included elsewhere in the GMP. Owner shall make selections by the dates in the schedule. Every allowance must be reconciled by Change Order when actual committed cost becomes known, whether the result is an increase or decrease.</w:t>
      </w:r>
    </w:p>
    <w:p>
      <w:pPr>
        <w:keepLines w:val="0"/>
        <w:widowControl/>
      </w:pPr>
      <w:r>
        <w:rPr>
          <w:rFonts w:ascii="Arial" w:hAnsi="Arial"/>
          <w:b/>
          <w:color w:val="202C3B"/>
          <w:sz w:val="18"/>
        </w:rPr>
        <w:t xml:space="preserve">5.10  Key Participants.  </w:t>
      </w:r>
      <w:r>
        <w:rPr>
          <w:rFonts w:ascii="Arial" w:hAnsi="Arial"/>
          <w:color w:val="202C3B"/>
          <w:sz w:val="18"/>
        </w:rPr>
        <w:t>Design-Builder shall use the key participants identified in Exhibit A, subject to availability and performance. A proposed replacement will be reasonably qualified. If Owner directs a participant other than Design-Builder's recommended participant or rejects a qualified proposed participant without reasonable cause, resulting price and time effects are a Change.</w:t>
      </w:r>
    </w:p>
    <w:p>
      <w:pPr>
        <w:keepLines w:val="0"/>
        <w:widowControl/>
      </w:pPr>
      <w:r>
        <w:rPr>
          <w:rFonts w:ascii="Arial" w:hAnsi="Arial"/>
          <w:b/>
          <w:color w:val="202C3B"/>
          <w:sz w:val="18"/>
        </w:rPr>
        <w:t xml:space="preserve">5.11  Project Records at the Site.  </w:t>
      </w:r>
      <w:r>
        <w:rPr>
          <w:rFonts w:ascii="Arial" w:hAnsi="Arial"/>
          <w:color w:val="202C3B"/>
          <w:sz w:val="18"/>
        </w:rPr>
        <w:t>Design-Builder shall maintain current construction documents, approved submittals, field changes, test reports, and marked record information at the site or in a controlled electronic system. The records are working documents and will be compiled into the closeout deliverables required by Exhibit A.</w:t>
      </w:r>
    </w:p>
    <w:p>
      <w:pPr>
        <w:keepLines w:val="0"/>
        <w:widowControl/>
      </w:pPr>
      <w:r>
        <w:rPr>
          <w:rFonts w:ascii="Arial" w:hAnsi="Arial"/>
          <w:b/>
          <w:color w:val="202C3B"/>
          <w:sz w:val="18"/>
        </w:rPr>
        <w:t xml:space="preserve">5.12  Use of Site.  </w:t>
      </w:r>
      <w:r>
        <w:rPr>
          <w:rFonts w:ascii="Arial" w:hAnsi="Arial"/>
          <w:color w:val="202C3B"/>
          <w:sz w:val="18"/>
        </w:rPr>
        <w:t>Design-Builder shall confine operations to areas reasonably available for the Work, avoid unnecessary interference with Owner's operations and neighboring property, and comply with agreed access, parking, storage, security, and working-hour restrictions. A restriction not disclosed before the GMP is a Change if it materially affects cost or time.</w:t>
      </w:r>
    </w:p>
    <w:p>
      <w:pPr>
        <w:keepLines w:val="0"/>
        <w:widowControl/>
      </w:pPr>
      <w:r>
        <w:rPr>
          <w:rFonts w:ascii="Arial" w:hAnsi="Arial"/>
          <w:b/>
          <w:color w:val="202C3B"/>
          <w:sz w:val="18"/>
        </w:rPr>
        <w:t xml:space="preserve">5.13  Cutting and Patching.  </w:t>
      </w:r>
      <w:r>
        <w:rPr>
          <w:rFonts w:ascii="Arial" w:hAnsi="Arial"/>
          <w:color w:val="202C3B"/>
          <w:sz w:val="18"/>
        </w:rPr>
        <w:t>Design-Builder shall perform cutting and patching needed to integrate its Work and shall not unreasonably endanger or alter completed work of Owner or a separate contractor. Owner and separate contractors owe the same duty regarding Design-Builder's Work. Cost caused by another party is allocated to that party.</w:t>
      </w:r>
    </w:p>
    <w:p>
      <w:pPr>
        <w:keepLines w:val="0"/>
        <w:widowControl/>
      </w:pPr>
      <w:r>
        <w:rPr>
          <w:rFonts w:ascii="Arial" w:hAnsi="Arial"/>
          <w:b/>
          <w:color w:val="202C3B"/>
          <w:sz w:val="18"/>
        </w:rPr>
        <w:t xml:space="preserve">5.14  Cleaning.  </w:t>
      </w:r>
      <w:r>
        <w:rPr>
          <w:rFonts w:ascii="Arial" w:hAnsi="Arial"/>
          <w:color w:val="202C3B"/>
          <w:sz w:val="18"/>
        </w:rPr>
        <w:t>Design-Builder shall maintain reasonable daily cleanup and remove construction waste and its temporary facilities at completion. If a responsible party does not clean after notice, Owner may arrange cleanup and allocate the reasonable cost to that party.</w:t>
      </w:r>
    </w:p>
    <w:p>
      <w:pPr>
        <w:keepLines w:val="0"/>
        <w:widowControl/>
      </w:pPr>
      <w:r>
        <w:rPr>
          <w:rFonts w:ascii="Arial" w:hAnsi="Arial"/>
          <w:b/>
          <w:color w:val="202C3B"/>
          <w:sz w:val="18"/>
        </w:rPr>
        <w:t xml:space="preserve">5.15  Access.  </w:t>
      </w:r>
      <w:r>
        <w:rPr>
          <w:rFonts w:ascii="Arial" w:hAnsi="Arial"/>
          <w:color w:val="202C3B"/>
          <w:sz w:val="18"/>
        </w:rPr>
        <w:t>Owner and its authorized consultants may access the Work for observation, testing, financing inspection, and coordination, subject to safety rules and without unreasonably interfering with operations. Visitors shall be accompanied when required by site safety procedures.</w:t>
      </w:r>
    </w:p>
    <w:p>
      <w:pPr>
        <w:keepLines w:val="0"/>
        <w:widowControl/>
      </w:pPr>
      <w:r>
        <w:rPr>
          <w:rFonts w:ascii="Arial" w:hAnsi="Arial"/>
          <w:b/>
          <w:color w:val="202C3B"/>
          <w:sz w:val="18"/>
        </w:rPr>
        <w:t xml:space="preserve">5.16  Owner and Separate Contractors.  </w:t>
      </w:r>
      <w:r>
        <w:rPr>
          <w:rFonts w:ascii="Arial" w:hAnsi="Arial"/>
          <w:color w:val="202C3B"/>
          <w:sz w:val="18"/>
        </w:rPr>
        <w:t>Owner shall coordinate its forces and separate contractors with Design-Builder, provide contracts with compatible insurance and safety terms, and furnish their schedules and submittal information. Delay, rework, interference, or damage caused by Owner or a separate contractor is a Change. Design-Builder shall provide reasonable coordination but is not responsible for another party's means, methods, safety, or defective work.</w:t>
      </w:r>
    </w:p>
    <w:p>
      <w:pPr>
        <w:keepLines w:val="0"/>
        <w:widowControl/>
      </w:pPr>
      <w:r>
        <w:rPr>
          <w:rFonts w:ascii="Arial" w:hAnsi="Arial"/>
          <w:b/>
          <w:color w:val="202C3B"/>
          <w:sz w:val="18"/>
        </w:rPr>
        <w:t xml:space="preserve">5.17  Mutual Protection of Completed Work.  </w:t>
      </w:r>
      <w:r>
        <w:rPr>
          <w:rFonts w:ascii="Arial" w:hAnsi="Arial"/>
          <w:color w:val="202C3B"/>
          <w:sz w:val="18"/>
        </w:rPr>
        <w:t>Before covering or adjoining another party's work, each performing party shall make a reasonable visual review and report a readily apparent condition that would prevent proper continuation. Failure to report a condition that was reasonably discoverable allocates resulting corrective cost to the party that failed to report; concealed deficiencies remain the responsibility of the party that created them.</w:t>
      </w:r>
    </w:p>
    <w:p>
      <w:pPr>
        <w:keepLines w:val="0"/>
        <w:widowControl/>
      </w:pPr>
      <w:r>
        <w:rPr>
          <w:rFonts w:ascii="Arial" w:hAnsi="Arial"/>
          <w:b/>
          <w:color w:val="202C3B"/>
          <w:sz w:val="18"/>
        </w:rPr>
        <w:t xml:space="preserve">5.18  Temporary Services.  </w:t>
      </w:r>
      <w:r>
        <w:rPr>
          <w:rFonts w:ascii="Arial" w:hAnsi="Arial"/>
          <w:color w:val="202C3B"/>
          <w:sz w:val="18"/>
        </w:rPr>
        <w:t>Temporary utilities, facilities, security, winter conditions, hoisting, access, and similar Project support are included only to the extent stated in Exhibit A and the GMP breakdown. Owner shall provide permanent utilities and operational services allocated to Owner by the schedule or pricing basis.</w:t>
      </w:r>
    </w:p>
    <w:p>
      <w:pPr>
        <w:keepLines w:val="0"/>
        <w:widowControl/>
      </w:pPr>
      <w:r>
        <w:rPr>
          <w:rFonts w:ascii="Arial" w:hAnsi="Arial"/>
          <w:b/>
          <w:color w:val="202C3B"/>
          <w:sz w:val="18"/>
        </w:rPr>
        <w:t xml:space="preserve">5.19  Testing, Commissioning, and Closeout.  </w:t>
      </w:r>
      <w:r>
        <w:rPr>
          <w:rFonts w:ascii="Arial" w:hAnsi="Arial"/>
          <w:color w:val="202C3B"/>
          <w:sz w:val="18"/>
        </w:rPr>
        <w:t>Testing, special inspections, commissioning, training, attic stock, warranties, operation manuals, record documents, and other closeout duties are allocated in Exhibit A. A retest required because Design-Builder's Work failed an applicable requirement is Design-Builder's cost; a test not in the pricing basis or a retest caused by another party is a Change.</w:t>
      </w:r>
    </w:p>
    <w:p>
      <w:pPr>
        <w:pStyle w:val="Heading1"/>
      </w:pPr>
      <w:r>
        <w:t>ARTICLE 6  |  CHANGES AND PRICING ADJUSTMENTS</w:t>
      </w:r>
    </w:p>
    <w:p>
      <w:pPr>
        <w:keepLines w:val="0"/>
        <w:widowControl/>
      </w:pPr>
      <w:r>
        <w:rPr>
          <w:rFonts w:ascii="Arial" w:hAnsi="Arial"/>
          <w:b/>
          <w:color w:val="202C3B"/>
          <w:sz w:val="18"/>
        </w:rPr>
        <w:t xml:space="preserve">6.1  Written Change Control.  </w:t>
      </w:r>
      <w:r>
        <w:rPr>
          <w:rFonts w:ascii="Arial" w:hAnsi="Arial"/>
          <w:color w:val="202C3B"/>
          <w:sz w:val="18"/>
        </w:rPr>
        <w:t>A Change may alter scope, criteria, quality, design, sequencing, price, time, or another Contract term. Except for an emergency or written interim authorization, Design-Builder is not required to perform changed Work before the parties sign a Change Order. A Change Order states the agreed change, price or pricing method, time effect, and any revised Contract term.</w:t>
      </w:r>
    </w:p>
    <w:p>
      <w:pPr>
        <w:keepLines w:val="0"/>
        <w:widowControl/>
      </w:pPr>
      <w:r>
        <w:rPr>
          <w:rFonts w:ascii="Arial" w:hAnsi="Arial"/>
          <w:b/>
          <w:color w:val="202C3B"/>
          <w:sz w:val="18"/>
        </w:rPr>
        <w:t xml:space="preserve">6.2  Interim Change Authorization.  </w:t>
      </w:r>
      <w:r>
        <w:rPr>
          <w:rFonts w:ascii="Arial" w:hAnsi="Arial"/>
          <w:color w:val="202C3B"/>
          <w:sz w:val="18"/>
        </w:rPr>
        <w:t>When the Work must proceed before final price or time is agreed, Owner may sign an interim authorization defining the directed work and an agreed cost-control basis. Design-Builder shall keep reasonable cost and time records. The interim authorization is not a waiver of Design-Builder's right to a full equitable adjustment and does not require Design-Builder to finance the Change.</w:t>
      </w:r>
    </w:p>
    <w:p>
      <w:pPr>
        <w:keepLines w:val="0"/>
        <w:widowControl/>
      </w:pPr>
      <w:r>
        <w:rPr>
          <w:rFonts w:ascii="Arial" w:hAnsi="Arial"/>
          <w:b/>
          <w:color w:val="202C3B"/>
          <w:sz w:val="18"/>
        </w:rPr>
        <w:t xml:space="preserve">6.3  Change Pricing Methods.  </w:t>
      </w:r>
      <w:r>
        <w:rPr>
          <w:rFonts w:ascii="Arial" w:hAnsi="Arial"/>
          <w:color w:val="202C3B"/>
          <w:sz w:val="18"/>
        </w:rPr>
        <w:t>A Change may be priced by agreed lump sum, applicable unit prices, Cost of the Work plus the stated markup or Fee, or another signed method. Pricing may include labor, benefits, materials, equipment, design, permits, testing, insurance, bonds, taxes, supervision, general conditions, overhead, profit, delay, escalation, and other reasonable effects. The parties shall identify what is included to avoid duplicate recovery.</w:t>
      </w:r>
    </w:p>
    <w:p>
      <w:pPr>
        <w:keepLines w:val="0"/>
        <w:widowControl/>
      </w:pPr>
      <w:r>
        <w:rPr>
          <w:rFonts w:ascii="Arial" w:hAnsi="Arial"/>
          <w:b/>
          <w:color w:val="202C3B"/>
          <w:sz w:val="18"/>
        </w:rPr>
        <w:t xml:space="preserve">6.4  Time Effects.  </w:t>
      </w:r>
      <w:r>
        <w:rPr>
          <w:rFonts w:ascii="Arial" w:hAnsi="Arial"/>
          <w:color w:val="202C3B"/>
          <w:sz w:val="18"/>
        </w:rPr>
        <w:t>Each Change proposal shall state the known schedule effect or reserve the effect if it cannot yet be determined. Time consequences include design and review, procurement, resequencing, disruption, weather exposure, demobilization, remobilization, extended general conditions, and impact on other work. Silence in an interim authorization does not waive a later supported time request.</w:t>
      </w:r>
    </w:p>
    <w:p>
      <w:pPr>
        <w:keepLines w:val="0"/>
        <w:widowControl/>
      </w:pPr>
      <w:r>
        <w:rPr>
          <w:rFonts w:ascii="Arial" w:hAnsi="Arial"/>
          <w:b/>
          <w:color w:val="202C3B"/>
          <w:sz w:val="18"/>
        </w:rPr>
        <w:t xml:space="preserve">6.5  Deleted Scope and Credit.  </w:t>
      </w:r>
      <w:r>
        <w:rPr>
          <w:rFonts w:ascii="Arial" w:hAnsi="Arial"/>
          <w:color w:val="202C3B"/>
          <w:sz w:val="18"/>
        </w:rPr>
        <w:t>A deletion reduces the GMP only by the net Cost of the Work that Design-Builder actually avoids because the scope is not performed. Unless the deletion truly eliminates and Design-Builder documents the corresponding cost, the credit does not reduce earned or committed design cost, Design-Builder's Fee or profit, home-office overhead, Project general conditions, supervision, insurance, bonds, contingency, procurement expense, cancellation cost, or cost of redesign and resequencing. A credit is adjusted for restocking, termination, demobilization, and related cost. Removal of scope for award to another contractor does not transfer coordination or design responsibility to Design-Builder without a signed agreement and compensation.</w:t>
      </w:r>
    </w:p>
    <w:p>
      <w:pPr>
        <w:keepLines w:val="0"/>
        <w:widowControl/>
      </w:pPr>
      <w:r>
        <w:rPr>
          <w:rFonts w:ascii="Arial" w:hAnsi="Arial"/>
          <w:b/>
          <w:color w:val="202C3B"/>
          <w:sz w:val="18"/>
        </w:rPr>
        <w:t xml:space="preserve">6.6  Allowance Reconciliation.  </w:t>
      </w:r>
      <w:r>
        <w:rPr>
          <w:rFonts w:ascii="Arial" w:hAnsi="Arial"/>
          <w:color w:val="202C3B"/>
          <w:sz w:val="18"/>
        </w:rPr>
        <w:t>When an allowance selection or procurement is sufficiently defined, Design-Builder shall submit the actual committed allowance cost and related price or time effect. The parties shall issue a Change Order reconciling the allowance. No allowance is deemed finally reconciled by invoice alone, schedule-of-values movement, or an unsigned cost report.</w:t>
      </w:r>
    </w:p>
    <w:p>
      <w:pPr>
        <w:keepLines w:val="0"/>
        <w:widowControl/>
      </w:pPr>
      <w:r>
        <w:rPr>
          <w:rFonts w:ascii="Arial" w:hAnsi="Arial"/>
          <w:b/>
          <w:color w:val="202C3B"/>
          <w:sz w:val="18"/>
        </w:rPr>
        <w:t xml:space="preserve">6.7  Emergency Work.  </w:t>
      </w:r>
      <w:r>
        <w:rPr>
          <w:rFonts w:ascii="Arial" w:hAnsi="Arial"/>
          <w:color w:val="202C3B"/>
          <w:sz w:val="18"/>
        </w:rPr>
        <w:t>Design-Builder may take reasonable action without advance approval to prevent imminent injury or material property damage. It shall notify Owner promptly and document the action. Cost and time are a Change unless the emergency resulted from Design-Builder's failure to perform a Contract duty.</w:t>
      </w:r>
    </w:p>
    <w:p>
      <w:pPr>
        <w:keepLines w:val="0"/>
        <w:widowControl/>
      </w:pPr>
      <w:r>
        <w:rPr>
          <w:rFonts w:ascii="Arial" w:hAnsi="Arial"/>
          <w:b/>
          <w:color w:val="202C3B"/>
          <w:sz w:val="18"/>
        </w:rPr>
        <w:t xml:space="preserve">6.8  Disputed Change.  </w:t>
      </w:r>
      <w:r>
        <w:rPr>
          <w:rFonts w:ascii="Arial" w:hAnsi="Arial"/>
          <w:color w:val="202C3B"/>
          <w:sz w:val="18"/>
        </w:rPr>
        <w:t>If the parties disagree whether an event is a Change or disagree on price or time, Design-Builder shall submit a Claim under Article 14. Owner shall pay the undisputed portion of changed Work as it progresses. Design-Builder is not required to continue disputed extra work that is unsafe, unlawful, materially unfunded, or outside the general scope of the Project.</w:t>
      </w:r>
    </w:p>
    <w:p>
      <w:pPr>
        <w:pStyle w:val="Heading1"/>
      </w:pPr>
      <w:r>
        <w:t>ARTICLE 7  |  OWNER DUTIES AND INPUTS</w:t>
      </w:r>
    </w:p>
    <w:p>
      <w:pPr>
        <w:keepLines w:val="0"/>
        <w:widowControl/>
      </w:pPr>
      <w:r>
        <w:rPr>
          <w:rFonts w:ascii="Arial" w:hAnsi="Arial"/>
          <w:b/>
          <w:color w:val="202C3B"/>
          <w:sz w:val="18"/>
        </w:rPr>
        <w:t xml:space="preserve">7.1  Authority and Decisions.  </w:t>
      </w:r>
      <w:r>
        <w:rPr>
          <w:rFonts w:ascii="Arial" w:hAnsi="Arial"/>
          <w:color w:val="202C3B"/>
          <w:sz w:val="18"/>
        </w:rPr>
        <w:t>Owner shall designate a representative with authority to provide criteria, approvals, selections, and decisions. Owner shall respond within the accepted schedule and provide one coordinated direction. Design-Builder may rely on the representative's written direction unless Owner has provided written limits on that authority.</w:t>
      </w:r>
    </w:p>
    <w:p>
      <w:pPr>
        <w:keepLines w:val="0"/>
        <w:widowControl/>
      </w:pPr>
      <w:r>
        <w:rPr>
          <w:rFonts w:ascii="Arial" w:hAnsi="Arial"/>
          <w:b/>
          <w:color w:val="202C3B"/>
          <w:sz w:val="18"/>
        </w:rPr>
        <w:t xml:space="preserve">7.2  Owner Information.  </w:t>
      </w:r>
      <w:r>
        <w:rPr>
          <w:rFonts w:ascii="Arial" w:hAnsi="Arial"/>
          <w:color w:val="202C3B"/>
          <w:sz w:val="18"/>
        </w:rPr>
        <w:t>Owner shall furnish accurate and complete information within its control concerning the property, legal description, title restrictions, easements, utilities, existing improvements, operations, hazardous materials, surveys, geotechnical and environmental conditions, prior reports, and other matters reasonably necessary for the Work. Design-Builder is entitled to rely on that information.</w:t>
      </w:r>
    </w:p>
    <w:p>
      <w:pPr>
        <w:keepLines w:val="0"/>
        <w:widowControl/>
      </w:pPr>
      <w:r>
        <w:rPr>
          <w:rFonts w:ascii="Arial" w:hAnsi="Arial"/>
          <w:b/>
          <w:color w:val="202C3B"/>
          <w:sz w:val="18"/>
        </w:rPr>
        <w:t xml:space="preserve">7.3  Financial Arrangements.  </w:t>
      </w:r>
      <w:r>
        <w:rPr>
          <w:rFonts w:ascii="Arial" w:hAnsi="Arial"/>
          <w:color w:val="202C3B"/>
          <w:sz w:val="18"/>
        </w:rPr>
        <w:t>Before Design-Builder makes substantial commitments and later upon a material payment default, material increase in the Project scope, or reasonable evidence of funding concern, Owner shall provide reasonable evidence that financial arrangements are sufficient to meet Owner's obligations. The information may be treated as confidential. If satisfactory evidence is not provided, Design-Builder may decline new commitments or suspend affected Work after written notice.</w:t>
      </w:r>
    </w:p>
    <w:p>
      <w:pPr>
        <w:keepLines w:val="0"/>
        <w:widowControl/>
      </w:pPr>
      <w:r>
        <w:rPr>
          <w:rFonts w:ascii="Arial" w:hAnsi="Arial"/>
          <w:b/>
          <w:color w:val="202C3B"/>
          <w:sz w:val="18"/>
        </w:rPr>
        <w:t xml:space="preserve">7.4  Property Rights and Approvals.  </w:t>
      </w:r>
      <w:r>
        <w:rPr>
          <w:rFonts w:ascii="Arial" w:hAnsi="Arial"/>
          <w:color w:val="202C3B"/>
          <w:sz w:val="18"/>
        </w:rPr>
        <w:t>Owner shall secure the right to build on and access the Project site and shall obtain easements, zoning and land-use approvals, development agreements, and approvals tied to ownership or financing. Design-Builder shall prepare and submit design and construction permit documents allocated to it and shall reasonably assist Owner.</w:t>
      </w:r>
    </w:p>
    <w:p>
      <w:pPr>
        <w:keepLines w:val="0"/>
        <w:widowControl/>
      </w:pPr>
      <w:r>
        <w:rPr>
          <w:rFonts w:ascii="Arial" w:hAnsi="Arial"/>
          <w:b/>
          <w:color w:val="202C3B"/>
          <w:sz w:val="18"/>
        </w:rPr>
        <w:t xml:space="preserve">7.5  Owner Consultants.  </w:t>
      </w:r>
      <w:r>
        <w:rPr>
          <w:rFonts w:ascii="Arial" w:hAnsi="Arial"/>
          <w:color w:val="202C3B"/>
          <w:sz w:val="18"/>
        </w:rPr>
        <w:t>Owner shall retain consultants needed for surveys, geotechnical, environmental, hazardous-material, commissioning, or other services allocated to Owner. Their services shall be timely, coordinated with the Project schedule, and performed by qualified persons. Design-Builder may rely on their reports and recommendations.</w:t>
      </w:r>
    </w:p>
    <w:p>
      <w:pPr>
        <w:keepLines w:val="0"/>
        <w:widowControl/>
      </w:pPr>
      <w:r>
        <w:rPr>
          <w:rFonts w:ascii="Arial" w:hAnsi="Arial"/>
          <w:b/>
          <w:color w:val="202C3B"/>
          <w:sz w:val="18"/>
        </w:rPr>
        <w:t xml:space="preserve">7.6  Owner's Separate Work.  </w:t>
      </w:r>
      <w:r>
        <w:rPr>
          <w:rFonts w:ascii="Arial" w:hAnsi="Arial"/>
          <w:color w:val="202C3B"/>
          <w:sz w:val="18"/>
        </w:rPr>
        <w:t>Owner shall disclose and coordinate work by its employees and separate contractors. Owner shall require those parties to follow site safety and insurance requirements, protect the Work, provide schedules and submittal information, and cooperate with Design-Builder. Owner is responsible for their acts, omissions, delay, and interference.</w:t>
      </w:r>
    </w:p>
    <w:p>
      <w:pPr>
        <w:keepLines w:val="0"/>
        <w:widowControl/>
      </w:pPr>
      <w:r>
        <w:rPr>
          <w:rFonts w:ascii="Arial" w:hAnsi="Arial"/>
          <w:b/>
          <w:color w:val="202C3B"/>
          <w:sz w:val="18"/>
        </w:rPr>
        <w:t xml:space="preserve">7.7  Owner Review of Submissions.  </w:t>
      </w:r>
      <w:r>
        <w:rPr>
          <w:rFonts w:ascii="Arial" w:hAnsi="Arial"/>
          <w:color w:val="202C3B"/>
          <w:sz w:val="18"/>
        </w:rPr>
        <w:t>Owner shall review design submissions, samples, mockups, finish selections, and other items for alignment with Owner's Criteria and shall respond within the time stated in the schedule. Owner's approval does not relieve Design-Builder of its professional or construction responsibilities, but Design-Builder may rely on Owner's aesthetic, operational, and program decisions.</w:t>
      </w:r>
    </w:p>
    <w:p>
      <w:pPr>
        <w:keepLines w:val="0"/>
        <w:widowControl/>
      </w:pPr>
      <w:r>
        <w:rPr>
          <w:rFonts w:ascii="Arial" w:hAnsi="Arial"/>
          <w:b/>
          <w:color w:val="202C3B"/>
          <w:sz w:val="18"/>
        </w:rPr>
        <w:t xml:space="preserve">7.8  Site Observation.  </w:t>
      </w:r>
      <w:r>
        <w:rPr>
          <w:rFonts w:ascii="Arial" w:hAnsi="Arial"/>
          <w:color w:val="202C3B"/>
          <w:sz w:val="18"/>
        </w:rPr>
        <w:t>Owner may observe the Work but is not required to make continuous or exhaustive inspections. Owner shall promptly report a known nonconformity. Owner shall not direct subcontractors or control construction means, methods, sequences, or safety. A direction to Design-Builder that changes the Work must follow Article 6.</w:t>
      </w:r>
    </w:p>
    <w:p>
      <w:pPr>
        <w:keepLines w:val="0"/>
        <w:widowControl/>
      </w:pPr>
      <w:r>
        <w:rPr>
          <w:rFonts w:ascii="Arial" w:hAnsi="Arial"/>
          <w:b/>
          <w:color w:val="202C3B"/>
          <w:sz w:val="18"/>
        </w:rPr>
        <w:t xml:space="preserve">7.9  Right to Stop Affected Work.  </w:t>
      </w:r>
      <w:r>
        <w:rPr>
          <w:rFonts w:ascii="Arial" w:hAnsi="Arial"/>
          <w:color w:val="202C3B"/>
          <w:sz w:val="18"/>
        </w:rPr>
        <w:t>If Owner reasonably believes an activity presents imminent danger or material nonconformity, Owner may direct Design-Builder to stop the affected activity while the parties investigate. If the activity conforms to the Contract and Design-Builder was not responsible for the concern, the resulting cost and time are a Change.</w:t>
      </w:r>
    </w:p>
    <w:p>
      <w:pPr>
        <w:keepLines w:val="0"/>
        <w:widowControl/>
      </w:pPr>
      <w:r>
        <w:rPr>
          <w:rFonts w:ascii="Arial" w:hAnsi="Arial"/>
          <w:b/>
          <w:color w:val="202C3B"/>
          <w:sz w:val="18"/>
        </w:rPr>
        <w:t xml:space="preserve">7.10  Right to Correct After Notice.  </w:t>
      </w:r>
      <w:r>
        <w:rPr>
          <w:rFonts w:ascii="Arial" w:hAnsi="Arial"/>
          <w:color w:val="202C3B"/>
          <w:sz w:val="18"/>
        </w:rPr>
        <w:t>If Design-Builder materially fails to correct nonconforming Work after written notice and a reasonable cure period, Owner may correct that specific Work. Owner shall provide supporting cost records. Any deduction is limited to reasonable, direct, documented cost not otherwise recovered and is subject to Design-Builder's right to dispute under Article 14.</w:t>
      </w:r>
    </w:p>
    <w:p>
      <w:pPr>
        <w:keepLines w:val="0"/>
        <w:widowControl/>
      </w:pPr>
      <w:r>
        <w:rPr>
          <w:rFonts w:ascii="Arial" w:hAnsi="Arial"/>
          <w:b/>
          <w:color w:val="202C3B"/>
          <w:sz w:val="18"/>
        </w:rPr>
        <w:t xml:space="preserve">7.11  Owner-Furnished Items.  </w:t>
      </w:r>
      <w:r>
        <w:rPr>
          <w:rFonts w:ascii="Arial" w:hAnsi="Arial"/>
          <w:color w:val="202C3B"/>
          <w:sz w:val="18"/>
        </w:rPr>
        <w:t>Owner is responsible for the timely selection, purchase, delivery, quality, compatibility, and warranty of Owner-furnished equipment, materials, and information. Design-Builder shall coordinate installation to the extent included in the Contract. Late, defective, incompatible, or incomplete Owner-furnished items are a Change.</w:t>
      </w:r>
    </w:p>
    <w:p>
      <w:pPr>
        <w:pStyle w:val="Heading1"/>
      </w:pPr>
      <w:r>
        <w:t>ARTICLE 8  |  SCHEDULE AND DELAY</w:t>
      </w:r>
    </w:p>
    <w:p>
      <w:pPr>
        <w:keepLines w:val="0"/>
        <w:widowControl/>
      </w:pPr>
      <w:r>
        <w:rPr>
          <w:rFonts w:ascii="Arial" w:hAnsi="Arial"/>
          <w:b/>
          <w:color w:val="202C3B"/>
          <w:sz w:val="18"/>
        </w:rPr>
        <w:t xml:space="preserve">8.1  Time Obligations.  </w:t>
      </w:r>
      <w:r>
        <w:rPr>
          <w:rFonts w:ascii="Arial" w:hAnsi="Arial"/>
          <w:color w:val="202C3B"/>
          <w:sz w:val="18"/>
        </w:rPr>
        <w:t>The dates and durations in Exhibit A are material Project obligations, subject to authorized adjustment. Design-Builder shall proceed diligently with adequate staffing and coordination. Owner shall make decisions, provide access and information, and pay as required so Design-Builder can maintain the schedule.</w:t>
      </w:r>
    </w:p>
    <w:p>
      <w:pPr>
        <w:keepLines w:val="0"/>
        <w:widowControl/>
      </w:pPr>
      <w:r>
        <w:rPr>
          <w:rFonts w:ascii="Arial" w:hAnsi="Arial"/>
          <w:b/>
          <w:color w:val="202C3B"/>
          <w:sz w:val="18"/>
        </w:rPr>
        <w:t xml:space="preserve">8.2  Commencement Conditions.  </w:t>
      </w:r>
      <w:r>
        <w:rPr>
          <w:rFonts w:ascii="Arial" w:hAnsi="Arial"/>
          <w:color w:val="202C3B"/>
          <w:sz w:val="18"/>
        </w:rPr>
        <w:t>Contract Time does not begin before the commencement conditions in Exhibit A are satisfied. If Owner directs a delayed start or a condition outside Design-Builder's control remains unsatisfied, the schedule and GMP will be adjusted for escalation, storage, procurement, standby, redesign, and other effects.</w:t>
      </w:r>
    </w:p>
    <w:p>
      <w:pPr>
        <w:keepLines w:val="0"/>
        <w:widowControl/>
      </w:pPr>
      <w:r>
        <w:rPr>
          <w:rFonts w:ascii="Arial" w:hAnsi="Arial"/>
          <w:b/>
          <w:color w:val="202C3B"/>
          <w:sz w:val="18"/>
        </w:rPr>
        <w:t xml:space="preserve">8.3  Excusable Delay.  </w:t>
      </w:r>
      <w:r>
        <w:rPr>
          <w:rFonts w:ascii="Arial" w:hAnsi="Arial"/>
          <w:color w:val="202C3B"/>
          <w:sz w:val="18"/>
        </w:rPr>
        <w:t>Design-Builder receives a reasonable time extension for delay caused by Owner, separate contractors, changes, concealed conditions, labor disputes not limited to Design-Builder, abnormal transportation or supply interruption, epidemic, governmental action, casualty, unusually severe weather, or another cause beyond Design-Builder's reasonable control. A delay caused by Owner or another party for whom Owner is responsible is also compensable to the extent permitted by law and the Contract.</w:t>
      </w:r>
    </w:p>
    <w:p>
      <w:pPr>
        <w:keepLines w:val="0"/>
        <w:widowControl/>
      </w:pPr>
      <w:r>
        <w:rPr>
          <w:rFonts w:ascii="Arial" w:hAnsi="Arial"/>
          <w:b/>
          <w:color w:val="202C3B"/>
          <w:sz w:val="18"/>
        </w:rPr>
        <w:t xml:space="preserve">8.4  Delay Notice.  </w:t>
      </w:r>
      <w:r>
        <w:rPr>
          <w:rFonts w:ascii="Arial" w:hAnsi="Arial"/>
          <w:color w:val="202C3B"/>
          <w:sz w:val="18"/>
        </w:rPr>
        <w:t>Design-Builder shall provide written notice of a material delay within seven days after it reasonably recognizes the event and its likely effect, followed by available schedule information. Notice is sufficient if it identifies the event, affected activity, and expected effect; exact cost and time may be supplemented as information develops. Late notice reduces recovery only to the extent Owner proves material prejudice.</w:t>
      </w:r>
    </w:p>
    <w:p>
      <w:pPr>
        <w:keepLines w:val="0"/>
        <w:widowControl/>
      </w:pPr>
      <w:r>
        <w:rPr>
          <w:rFonts w:ascii="Arial" w:hAnsi="Arial"/>
          <w:b/>
          <w:color w:val="202C3B"/>
          <w:sz w:val="18"/>
        </w:rPr>
        <w:t xml:space="preserve">8.5  Concurrent Delay.  </w:t>
      </w:r>
      <w:r>
        <w:rPr>
          <w:rFonts w:ascii="Arial" w:hAnsi="Arial"/>
          <w:color w:val="202C3B"/>
          <w:sz w:val="18"/>
        </w:rPr>
        <w:t>If independent Owner-caused and Design-Builder-caused events concurrently delay the same critical activity, Design-Builder receives an appropriate time extension but compensation will be allocated according to proven responsibility and actual effect. Noncritical delay is compensable only to the extent it causes measurable cost or later affects the critical path.</w:t>
      </w:r>
    </w:p>
    <w:p>
      <w:pPr>
        <w:keepLines w:val="0"/>
        <w:widowControl/>
      </w:pPr>
      <w:r>
        <w:rPr>
          <w:rFonts w:ascii="Arial" w:hAnsi="Arial"/>
          <w:b/>
          <w:color w:val="202C3B"/>
          <w:sz w:val="18"/>
        </w:rPr>
        <w:t xml:space="preserve">8.6  Weather.  </w:t>
      </w:r>
      <w:r>
        <w:rPr>
          <w:rFonts w:ascii="Arial" w:hAnsi="Arial"/>
          <w:color w:val="202C3B"/>
          <w:sz w:val="18"/>
        </w:rPr>
        <w:t>The schedule includes weather reasonably expected for the location and season. A time extension is available for weather materially more adverse than reasonably anticipated or for weather impact caused by an Owner-directed timing change. Design-Builder shall document the affected activities and reasonable mitigation.</w:t>
      </w:r>
    </w:p>
    <w:p>
      <w:pPr>
        <w:keepLines w:val="0"/>
        <w:widowControl/>
      </w:pPr>
      <w:r>
        <w:rPr>
          <w:rFonts w:ascii="Arial" w:hAnsi="Arial"/>
          <w:b/>
          <w:color w:val="202C3B"/>
          <w:sz w:val="18"/>
        </w:rPr>
        <w:t xml:space="preserve">8.7  Acceleration.  </w:t>
      </w:r>
      <w:r>
        <w:rPr>
          <w:rFonts w:ascii="Arial" w:hAnsi="Arial"/>
          <w:color w:val="202C3B"/>
          <w:sz w:val="18"/>
        </w:rPr>
        <w:t>Design-Builder is not required to accelerate, add shifts, work premium time, or compress activities unless Owner signs a Change Order addressing cost, time, and productivity. If Owner denies a justified extension and requires the existing date, Design-Builder may treat the direction as constructive acceleration and submit a Claim.</w:t>
      </w:r>
    </w:p>
    <w:p>
      <w:pPr>
        <w:keepLines w:val="0"/>
        <w:widowControl/>
      </w:pPr>
      <w:r>
        <w:rPr>
          <w:rFonts w:ascii="Arial" w:hAnsi="Arial"/>
          <w:b/>
          <w:color w:val="202C3B"/>
          <w:sz w:val="18"/>
        </w:rPr>
        <w:t xml:space="preserve">8.8  Schedule Recovery.  </w:t>
      </w:r>
      <w:r>
        <w:rPr>
          <w:rFonts w:ascii="Arial" w:hAnsi="Arial"/>
          <w:color w:val="202C3B"/>
          <w:sz w:val="18"/>
        </w:rPr>
        <w:t>When delay is attributable to Design-Builder, Design-Builder shall prepare a reasonable recovery plan at its cost. When delay is excusable or Owner-caused, recovery efforts are a Change. Acceptance of a recovery schedule does not waive responsibility for the underlying delay.</w:t>
      </w:r>
    </w:p>
    <w:p>
      <w:pPr>
        <w:keepLines w:val="0"/>
        <w:widowControl/>
      </w:pPr>
      <w:r>
        <w:rPr>
          <w:rFonts w:ascii="Arial" w:hAnsi="Arial"/>
          <w:b/>
          <w:color w:val="202C3B"/>
          <w:sz w:val="18"/>
        </w:rPr>
        <w:t xml:space="preserve">8.9  No Liquidated Damages.  </w:t>
      </w:r>
      <w:r>
        <w:rPr>
          <w:rFonts w:ascii="Arial" w:hAnsi="Arial"/>
          <w:color w:val="202C3B"/>
          <w:sz w:val="18"/>
        </w:rPr>
        <w:t>No liquidated damages apply to this Design-Build GMP Project. No milestone, target date, schedule update, or completion date creates liquidated damages by implication. Actual damages, if any, remain subject to the Contract's causation, notice, waiver, and limitation provisions.</w:t>
      </w:r>
    </w:p>
    <w:p>
      <w:pPr>
        <w:pStyle w:val="Heading1"/>
      </w:pPr>
      <w:r>
        <w:t>ARTICLE 9  |  BILLING, PAYMENT, AND COMPLETION</w:t>
      </w:r>
    </w:p>
    <w:p>
      <w:pPr>
        <w:keepLines w:val="0"/>
        <w:widowControl/>
      </w:pPr>
      <w:r>
        <w:rPr>
          <w:rFonts w:ascii="Arial" w:hAnsi="Arial"/>
          <w:b/>
          <w:color w:val="202C3B"/>
          <w:sz w:val="18"/>
        </w:rPr>
        <w:t xml:space="preserve">9.1  Contract Sum.  </w:t>
      </w:r>
      <w:r>
        <w:rPr>
          <w:rFonts w:ascii="Arial" w:hAnsi="Arial"/>
          <w:color w:val="202C3B"/>
          <w:sz w:val="18"/>
        </w:rPr>
        <w:t>After Exhibit A, the Contract Sum is the Cost of the Work plus Design-Builder's Fee, subject to the adjusted GMP and the terms of Exhibit A. Before Exhibit A, only Phase One and separately authorized Early Work are payable.</w:t>
      </w:r>
    </w:p>
    <w:p>
      <w:pPr>
        <w:keepLines w:val="0"/>
        <w:widowControl/>
      </w:pPr>
      <w:r>
        <w:rPr>
          <w:rFonts w:ascii="Arial" w:hAnsi="Arial"/>
          <w:b/>
          <w:color w:val="202C3B"/>
          <w:sz w:val="18"/>
        </w:rPr>
        <w:t xml:space="preserve">9.2  Schedule of Values.  </w:t>
      </w:r>
      <w:r>
        <w:rPr>
          <w:rFonts w:ascii="Arial" w:hAnsi="Arial"/>
          <w:color w:val="202C3B"/>
          <w:sz w:val="18"/>
        </w:rPr>
        <w:t>Before the first construction application, Design-Builder shall submit a schedule of values allocating the GMP among design, general conditions, trades, allowances, contingencies, Fee, and other categories. The schedule is a billing tool and does not change the pricing basis, create separate fixed prices, or restrict reasonable reallocation consistent with the Contract.</w:t>
      </w:r>
    </w:p>
    <w:p>
      <w:pPr>
        <w:keepLines w:val="0"/>
        <w:widowControl/>
      </w:pPr>
      <w:r>
        <w:rPr>
          <w:rFonts w:ascii="Arial" w:hAnsi="Arial"/>
          <w:b/>
          <w:color w:val="202C3B"/>
          <w:sz w:val="18"/>
        </w:rPr>
        <w:t xml:space="preserve">9.3  Applications for Payment.  </w:t>
      </w:r>
      <w:r>
        <w:rPr>
          <w:rFonts w:ascii="Arial" w:hAnsi="Arial"/>
          <w:color w:val="202C3B"/>
          <w:sz w:val="18"/>
        </w:rPr>
        <w:t>Design-Builder shall submit monthly applications showing Work in place, stored materials, design and procurement progress, approved Changes, allowance and contingency activity, Cost of the Work, Fee, retainage, prior payments, and amount due. Each application shall include only the Project-specific support identified in Exhibit A. A missing nonmaterial item does not make the entire application disputed; Owner shall promptly identify what is required.</w:t>
      </w:r>
    </w:p>
    <w:p>
      <w:pPr>
        <w:keepLines w:val="0"/>
        <w:widowControl/>
      </w:pPr>
      <w:r>
        <w:rPr>
          <w:rFonts w:ascii="Arial" w:hAnsi="Arial"/>
          <w:b/>
          <w:color w:val="202C3B"/>
          <w:sz w:val="18"/>
        </w:rPr>
        <w:t xml:space="preserve">9.4  Owner Review and Dispute Notice.  </w:t>
      </w:r>
      <w:r>
        <w:rPr>
          <w:rFonts w:ascii="Arial" w:hAnsi="Arial"/>
          <w:color w:val="202C3B"/>
          <w:sz w:val="18"/>
        </w:rPr>
        <w:t>Within seven calendar days after receipt, Owner shall approve the application or provide a written notice identifying each disputed line, the amount withheld, and the factual and contractual basis. General reservations, lender delay, internal processing, or a dispute concerning other Work do not support withholding. Owner may withhold only an amount reasonably related to the stated issue.</w:t>
      </w:r>
    </w:p>
    <w:p>
      <w:pPr>
        <w:keepLines w:val="0"/>
        <w:widowControl/>
      </w:pPr>
      <w:r>
        <w:rPr>
          <w:rFonts w:ascii="Arial" w:hAnsi="Arial"/>
          <w:b/>
          <w:color w:val="202C3B"/>
          <w:sz w:val="18"/>
        </w:rPr>
        <w:t xml:space="preserve">9.5  Undisputed Payment.  </w:t>
      </w:r>
      <w:r>
        <w:rPr>
          <w:rFonts w:ascii="Arial" w:hAnsi="Arial"/>
          <w:color w:val="202C3B"/>
          <w:sz w:val="18"/>
        </w:rPr>
        <w:t>Owner shall pay every undisputed portion no later than fifteen calendar days after receipt of a complete application. An overdue undisputed amount earns interest at twelve percent per year or the highest lawful rate, whichever is lower. Payment is not acceptance of defective Work and does not waive a timely Claim.</w:t>
      </w:r>
    </w:p>
    <w:p>
      <w:pPr>
        <w:keepLines w:val="0"/>
        <w:widowControl/>
      </w:pPr>
      <w:r>
        <w:rPr>
          <w:rFonts w:ascii="Arial" w:hAnsi="Arial"/>
          <w:b/>
          <w:color w:val="202C3B"/>
          <w:sz w:val="18"/>
        </w:rPr>
        <w:t xml:space="preserve">9.6  Payment for Stored Materials.  </w:t>
      </w:r>
      <w:r>
        <w:rPr>
          <w:rFonts w:ascii="Arial" w:hAnsi="Arial"/>
          <w:color w:val="202C3B"/>
          <w:sz w:val="18"/>
        </w:rPr>
        <w:t>Payment may include materials and equipment stored at the site and, with reasonable advance approval, stored off site. Design-Builder shall provide evidence of identification, insurance, protection, and transfer of title to the extent paid. Design-Builder remains responsible for care and installation, and Owner bears the risk only to the extent covered by required property insurance.</w:t>
      </w:r>
    </w:p>
    <w:p>
      <w:pPr>
        <w:keepLines w:val="0"/>
        <w:widowControl/>
      </w:pPr>
      <w:r>
        <w:rPr>
          <w:rFonts w:ascii="Arial" w:hAnsi="Arial"/>
          <w:b/>
          <w:color w:val="202C3B"/>
          <w:sz w:val="18"/>
        </w:rPr>
        <w:t xml:space="preserve">9.7  Use of Payments and Lower-Tier Agreements.  </w:t>
      </w:r>
      <w:r>
        <w:rPr>
          <w:rFonts w:ascii="Arial" w:hAnsi="Arial"/>
          <w:color w:val="202C3B"/>
          <w:sz w:val="18"/>
        </w:rPr>
        <w:t>Design-Builder shall apply Owner payments to Project obligations in accordance with applicable law and its agreements. Design-Builder may require appropriate payment information, releases, and waivers from lower-tier parties. Owner has no direct duty to pay or supervise payment to a lower-tier party unless Owner separately agrees in writing.</w:t>
      </w:r>
    </w:p>
    <w:p>
      <w:pPr>
        <w:keepLines w:val="0"/>
        <w:widowControl/>
      </w:pPr>
      <w:r>
        <w:rPr>
          <w:rFonts w:ascii="Arial" w:hAnsi="Arial"/>
          <w:b/>
          <w:color w:val="202C3B"/>
          <w:sz w:val="18"/>
        </w:rPr>
        <w:t xml:space="preserve">9.8  Pay-if-Paid Owner Acknowledgment.  </w:t>
      </w:r>
      <w:r>
        <w:rPr>
          <w:rFonts w:ascii="Arial" w:hAnsi="Arial"/>
          <w:color w:val="202C3B"/>
          <w:sz w:val="18"/>
        </w:rPr>
        <w:t>Owner understands that Design-Builder's subcontracts, purchase orders, consultant agreements, and other lower-tier agreements may state that Design-Builder's actual receipt of corresponding payment from Owner is an express condition precedent to Design-Builder's duty to pay that lower-tier party for the same Work. To the fullest extent allowed by law, Design-Builder is not required to finance Owner's Project or advance its own funds for amounts Owner has not paid, except to the extent Design-Builder caused the nonpayment through its material breach concerning that Work. Owner's nonpayment may cause lower-tier nonpayment, notices or liens, loss of labor or material availability, and suspension. Except to the extent caused by Design-Builder, Owner is responsible for the resulting time and cost, including shutdown, delay, escalation, storage, demobilization, remobilization, extended general conditions, lien-resolution expense, supported lower-tier claims, and applicable Fee. After receiving corresponding payment, Design-Builder shall pay undisputed lower-tier amounts within the time required by the applicable agreement and mandatory law.</w:t>
      </w:r>
    </w:p>
    <w:p>
      <w:pPr>
        <w:keepLines w:val="0"/>
        <w:widowControl/>
      </w:pPr>
      <w:r>
        <w:rPr>
          <w:rFonts w:ascii="Arial" w:hAnsi="Arial"/>
          <w:b/>
          <w:color w:val="202C3B"/>
          <w:sz w:val="18"/>
        </w:rPr>
        <w:t xml:space="preserve">9.9  Substantial Completion.  </w:t>
      </w:r>
      <w:r>
        <w:rPr>
          <w:rFonts w:ascii="Arial" w:hAnsi="Arial"/>
          <w:color w:val="202C3B"/>
          <w:sz w:val="18"/>
        </w:rPr>
        <w:t>When Design-Builder believes the Work or an agreed portion is sufficiently complete for Owner's intended use, Design-Builder shall submit a list of incomplete or corrective items and request inspection. Owner and Design-Builder shall inspect and record the date, remaining items, responsibilities for security, utilities, maintenance, insurance, and the time for completion. Minor items that do not materially interfere with intended use do not delay Substantial Completion.</w:t>
      </w:r>
    </w:p>
    <w:p>
      <w:pPr>
        <w:keepLines w:val="0"/>
        <w:widowControl/>
      </w:pPr>
      <w:r>
        <w:rPr>
          <w:rFonts w:ascii="Arial" w:hAnsi="Arial"/>
          <w:b/>
          <w:color w:val="202C3B"/>
          <w:sz w:val="18"/>
        </w:rPr>
        <w:t xml:space="preserve">9.10  Partial Occupancy.  </w:t>
      </w:r>
      <w:r>
        <w:rPr>
          <w:rFonts w:ascii="Arial" w:hAnsi="Arial"/>
          <w:color w:val="202C3B"/>
          <w:sz w:val="18"/>
        </w:rPr>
        <w:t>Owner may occupy a completed portion before overall Substantial Completion only after the parties agree in writing on the condition of the area, insurance, warranties, security, maintenance, utilities, remaining access, and correction period. Occupancy is not acceptance of nonconforming Work and does not waive payment or Claims.</w:t>
      </w:r>
    </w:p>
    <w:p>
      <w:pPr>
        <w:keepLines w:val="0"/>
        <w:widowControl/>
      </w:pPr>
      <w:r>
        <w:rPr>
          <w:rFonts w:ascii="Arial" w:hAnsi="Arial"/>
          <w:b/>
          <w:color w:val="202C3B"/>
          <w:sz w:val="18"/>
        </w:rPr>
        <w:t xml:space="preserve">9.11  Final Completion.  </w:t>
      </w:r>
      <w:r>
        <w:rPr>
          <w:rFonts w:ascii="Arial" w:hAnsi="Arial"/>
          <w:color w:val="202C3B"/>
          <w:sz w:val="18"/>
        </w:rPr>
        <w:t>Design-Builder shall notify Owner when the Work is ready for final inspection and shall complete the agreed closeout requirements. Owner shall promptly inspect and identify any remaining material deficiency. Final Completion occurs when Design-Builder has completed the Contract, except for obligations that expressly survive.</w:t>
      </w:r>
    </w:p>
    <w:p>
      <w:pPr>
        <w:keepLines w:val="0"/>
        <w:widowControl/>
      </w:pPr>
      <w:r>
        <w:rPr>
          <w:rFonts w:ascii="Arial" w:hAnsi="Arial"/>
          <w:b/>
          <w:color w:val="202C3B"/>
          <w:sz w:val="18"/>
        </w:rPr>
        <w:t xml:space="preserve">9.12  Final Payment.  </w:t>
      </w:r>
      <w:r>
        <w:rPr>
          <w:rFonts w:ascii="Arial" w:hAnsi="Arial"/>
          <w:color w:val="202C3B"/>
          <w:sz w:val="18"/>
        </w:rPr>
        <w:t>Final payment is due within fifteen calendar days after Final Completion and receipt of the final application, final accounting, required warranties and manuals, record documents, lien documentation, and consent of surety if applicable. Owner may withhold only the reasonable amount necessary for a specifically identified incomplete or disputed item and shall pay the balance.</w:t>
      </w:r>
    </w:p>
    <w:p>
      <w:pPr>
        <w:keepLines w:val="0"/>
        <w:widowControl/>
      </w:pPr>
      <w:r>
        <w:rPr>
          <w:rFonts w:ascii="Arial" w:hAnsi="Arial"/>
          <w:b/>
          <w:color w:val="202C3B"/>
          <w:sz w:val="18"/>
        </w:rPr>
        <w:t xml:space="preserve">9.13  Lien and Waiver Documents.  </w:t>
      </w:r>
      <w:r>
        <w:rPr>
          <w:rFonts w:ascii="Arial" w:hAnsi="Arial"/>
          <w:color w:val="202C3B"/>
          <w:sz w:val="18"/>
        </w:rPr>
        <w:t>Progress waivers are limited to the amount actually received and the period and Work identified. A waiver does not release retainage, pending Changes, Claims identified in the document, or amounts not paid. Final waivers become effective only upon receipt of final cleared funds. No provision waives nonwaivable lien or payment rights.</w:t>
      </w:r>
    </w:p>
    <w:p>
      <w:pPr>
        <w:keepLines w:val="0"/>
        <w:widowControl/>
      </w:pPr>
      <w:r>
        <w:rPr>
          <w:rFonts w:ascii="Arial" w:hAnsi="Arial"/>
          <w:b/>
          <w:color w:val="202C3B"/>
          <w:sz w:val="18"/>
        </w:rPr>
        <w:t xml:space="preserve">9.14  Suspension for Late Payment.  </w:t>
      </w:r>
      <w:r>
        <w:rPr>
          <w:rFonts w:ascii="Arial" w:hAnsi="Arial"/>
          <w:color w:val="202C3B"/>
          <w:sz w:val="18"/>
        </w:rPr>
        <w:t>If an undisputed amount remains unpaid seven calendar days after written notice, Design-Builder may stop all or affected Work without breach. Before resumption, Owner shall pay overdue amounts, interest, and reasonable protection, shutdown, storage, consultant, subcontractor, demobilization, remobilization, and restart cost. GMP and Contract Time will be adjusted. Design-Builder shall also give any notice required by mandatory law.</w:t>
      </w:r>
    </w:p>
    <w:p>
      <w:pPr>
        <w:pStyle w:val="Heading1"/>
      </w:pPr>
      <w:r>
        <w:t>ARTICLE 10  |  SITE SAFETY AND PROPERTY PROTECTION</w:t>
      </w:r>
    </w:p>
    <w:p>
      <w:pPr>
        <w:keepLines w:val="0"/>
        <w:widowControl/>
      </w:pPr>
      <w:r>
        <w:rPr>
          <w:rFonts w:ascii="Arial" w:hAnsi="Arial"/>
          <w:b/>
          <w:color w:val="202C3B"/>
          <w:sz w:val="18"/>
        </w:rPr>
        <w:t xml:space="preserve">10.1  Construction Safety.  </w:t>
      </w:r>
      <w:r>
        <w:rPr>
          <w:rFonts w:ascii="Arial" w:hAnsi="Arial"/>
          <w:color w:val="202C3B"/>
          <w:sz w:val="18"/>
        </w:rPr>
        <w:t>Design-Builder shall establish and administer safety precautions and programs for construction under its control and shall comply with applicable safety laws. Each employer remains responsible for the safety of its own employees. Owner and separate contractors shall follow site rules and shall not direct Design-Builder's safety means or methods.</w:t>
      </w:r>
    </w:p>
    <w:p>
      <w:pPr>
        <w:keepLines w:val="0"/>
        <w:widowControl/>
      </w:pPr>
      <w:r>
        <w:rPr>
          <w:rFonts w:ascii="Arial" w:hAnsi="Arial"/>
          <w:b/>
          <w:color w:val="202C3B"/>
          <w:sz w:val="18"/>
        </w:rPr>
        <w:t xml:space="preserve">10.2  Protection.  </w:t>
      </w:r>
      <w:r>
        <w:rPr>
          <w:rFonts w:ascii="Arial" w:hAnsi="Arial"/>
          <w:color w:val="202C3B"/>
          <w:sz w:val="18"/>
        </w:rPr>
        <w:t>Design-Builder shall take reasonable precautions to protect workers, the Work, stored materials, adjacent property, utilities, and the public from damage caused by construction. Owner shall disclose known operating hazards and protect occupied areas under Owner's control.</w:t>
      </w:r>
    </w:p>
    <w:p>
      <w:pPr>
        <w:keepLines w:val="0"/>
        <w:widowControl/>
      </w:pPr>
      <w:r>
        <w:rPr>
          <w:rFonts w:ascii="Arial" w:hAnsi="Arial"/>
          <w:b/>
          <w:color w:val="202C3B"/>
          <w:sz w:val="18"/>
        </w:rPr>
        <w:t xml:space="preserve">10.3  Hazardous Materials.  </w:t>
      </w:r>
      <w:r>
        <w:rPr>
          <w:rFonts w:ascii="Arial" w:hAnsi="Arial"/>
          <w:color w:val="202C3B"/>
          <w:sz w:val="18"/>
        </w:rPr>
        <w:t>Owner is responsible for preexisting hazardous materials and for materials introduced by Owner or a separate contractor. Design-Builder is responsible for hazardous materials it knowingly brings to the site. Upon encountering a suspected unknown hazardous material, Design-Builder shall stop affected Work, secure the area as reasonably possible, and notify Owner. Owner shall retain qualified testing and remediation services. Resulting cost and time are a Change unless Design-Builder introduced the material or failed to follow a Contract duty.</w:t>
      </w:r>
    </w:p>
    <w:p>
      <w:pPr>
        <w:keepLines w:val="0"/>
        <w:widowControl/>
      </w:pPr>
      <w:r>
        <w:rPr>
          <w:rFonts w:ascii="Arial" w:hAnsi="Arial"/>
          <w:b/>
          <w:color w:val="202C3B"/>
          <w:sz w:val="18"/>
        </w:rPr>
        <w:t xml:space="preserve">10.4  Emergency.  </w:t>
      </w:r>
      <w:r>
        <w:rPr>
          <w:rFonts w:ascii="Arial" w:hAnsi="Arial"/>
          <w:color w:val="202C3B"/>
          <w:sz w:val="18"/>
        </w:rPr>
        <w:t>In an emergency threatening persons or property, Design-Builder may act reasonably to prevent injury or loss and shall notify Owner promptly. The action does not waive a right to adjustment under Article 6.</w:t>
      </w:r>
    </w:p>
    <w:p>
      <w:pPr>
        <w:keepLines w:val="0"/>
        <w:widowControl/>
      </w:pPr>
      <w:r>
        <w:rPr>
          <w:rFonts w:ascii="Arial" w:hAnsi="Arial"/>
          <w:b/>
          <w:color w:val="202C3B"/>
          <w:sz w:val="18"/>
        </w:rPr>
        <w:t xml:space="preserve">10.5  Damage.  </w:t>
      </w:r>
      <w:r>
        <w:rPr>
          <w:rFonts w:ascii="Arial" w:hAnsi="Arial"/>
          <w:color w:val="202C3B"/>
          <w:sz w:val="18"/>
        </w:rPr>
        <w:t>A party shall promptly remedy physical damage to completed work or property to the extent caused by that party or a person for whom it is responsible. Insured loss will be handled under the applicable policy, and the parties shall cooperate in preserving coverage and evidence.</w:t>
      </w:r>
    </w:p>
    <w:p>
      <w:pPr>
        <w:keepLines w:val="0"/>
        <w:widowControl/>
      </w:pPr>
      <w:r>
        <w:rPr>
          <w:rFonts w:ascii="Arial" w:hAnsi="Arial"/>
          <w:b/>
          <w:color w:val="202C3B"/>
          <w:sz w:val="18"/>
        </w:rPr>
        <w:t xml:space="preserve">10.6  Incident Notice.  </w:t>
      </w:r>
      <w:r>
        <w:rPr>
          <w:rFonts w:ascii="Arial" w:hAnsi="Arial"/>
          <w:color w:val="202C3B"/>
          <w:sz w:val="18"/>
        </w:rPr>
        <w:t>Each party shall promptly notify the other of a material injury, property loss, governmental safety action, environmental event, or claim related to the Project and shall preserve relevant records. Notice is not an admission of responsibility.</w:t>
      </w:r>
    </w:p>
    <w:p>
      <w:pPr>
        <w:pStyle w:val="Heading1"/>
      </w:pPr>
      <w:r>
        <w:t>ARTICLE 11  |  DEFECTIVE WORK AND CORRECTION</w:t>
      </w:r>
    </w:p>
    <w:p>
      <w:pPr>
        <w:keepLines w:val="0"/>
        <w:widowControl/>
      </w:pPr>
      <w:r>
        <w:rPr>
          <w:rFonts w:ascii="Arial" w:hAnsi="Arial"/>
          <w:b/>
          <w:color w:val="202C3B"/>
          <w:sz w:val="18"/>
        </w:rPr>
        <w:t xml:space="preserve">11.1  Uncovering.  </w:t>
      </w:r>
      <w:r>
        <w:rPr>
          <w:rFonts w:ascii="Arial" w:hAnsi="Arial"/>
          <w:color w:val="202C3B"/>
          <w:sz w:val="18"/>
        </w:rPr>
        <w:t>Owner may request that completed Work be uncovered for inspection. If the Work materially fails to conform, Design-Builder bears reasonable uncovering and restoration cost. If it conforms and was not required to remain exposed, the cost and time are a Change.</w:t>
      </w:r>
    </w:p>
    <w:p>
      <w:pPr>
        <w:keepLines w:val="0"/>
        <w:widowControl/>
      </w:pPr>
      <w:r>
        <w:rPr>
          <w:rFonts w:ascii="Arial" w:hAnsi="Arial"/>
          <w:b/>
          <w:color w:val="202C3B"/>
          <w:sz w:val="18"/>
        </w:rPr>
        <w:t xml:space="preserve">11.2  Correction Before Completion.  </w:t>
      </w:r>
      <w:r>
        <w:rPr>
          <w:rFonts w:ascii="Arial" w:hAnsi="Arial"/>
          <w:color w:val="202C3B"/>
          <w:sz w:val="18"/>
        </w:rPr>
        <w:t>Design-Builder shall promptly correct construction that does not materially conform to the Contract and was caused by Design-Builder or persons under it. Design-Builder is not responsible for a defect caused by Owner criteria, Owner-furnished items, misuse, or a separate contractor.</w:t>
      </w:r>
    </w:p>
    <w:p>
      <w:pPr>
        <w:keepLines w:val="0"/>
        <w:widowControl/>
      </w:pPr>
      <w:r>
        <w:rPr>
          <w:rFonts w:ascii="Arial" w:hAnsi="Arial"/>
          <w:b/>
          <w:color w:val="202C3B"/>
          <w:sz w:val="18"/>
        </w:rPr>
        <w:t xml:space="preserve">11.3  Correction Period.  </w:t>
      </w:r>
      <w:r>
        <w:rPr>
          <w:rFonts w:ascii="Arial" w:hAnsi="Arial"/>
          <w:color w:val="202C3B"/>
          <w:sz w:val="18"/>
        </w:rPr>
        <w:t>For one year after Substantial Completion of the affected Work, Design-Builder shall correct covered nonconforming construction after prompt written notice and reasonable access. The period for a corrected component restarts only for that component and only for the remaining original period or ninety days, whichever is longer. Manufacturer warranties longer than one year will be assigned or passed through as available.</w:t>
      </w:r>
    </w:p>
    <w:p>
      <w:pPr>
        <w:keepLines w:val="0"/>
        <w:widowControl/>
      </w:pPr>
      <w:r>
        <w:rPr>
          <w:rFonts w:ascii="Arial" w:hAnsi="Arial"/>
          <w:b/>
          <w:color w:val="202C3B"/>
          <w:sz w:val="18"/>
        </w:rPr>
        <w:t xml:space="preserve">11.4  No Shortening of Other Rights.  </w:t>
      </w:r>
      <w:r>
        <w:rPr>
          <w:rFonts w:ascii="Arial" w:hAnsi="Arial"/>
          <w:color w:val="202C3B"/>
          <w:sz w:val="18"/>
        </w:rPr>
        <w:t>The correction period is an administrative remedy and does not create or shorten a statute of limitation, statute of repose, warranty, or other right. Claims remain subject to applicable law and the Contract.</w:t>
      </w:r>
    </w:p>
    <w:p>
      <w:pPr>
        <w:keepLines w:val="0"/>
        <w:widowControl/>
      </w:pPr>
      <w:r>
        <w:rPr>
          <w:rFonts w:ascii="Arial" w:hAnsi="Arial"/>
          <w:b/>
          <w:color w:val="202C3B"/>
          <w:sz w:val="18"/>
        </w:rPr>
        <w:t xml:space="preserve">11.5  Acceptance of Nonconforming Work.  </w:t>
      </w:r>
      <w:r>
        <w:rPr>
          <w:rFonts w:ascii="Arial" w:hAnsi="Arial"/>
          <w:color w:val="202C3B"/>
          <w:sz w:val="18"/>
        </w:rPr>
        <w:t>Owner may accept specifically identified nonconforming Work by a signed Change Order stating any equitable credit or other condition. Payment or occupancy alone is not acceptance of a known material nonconformity.</w:t>
      </w:r>
    </w:p>
    <w:p>
      <w:pPr>
        <w:keepLines w:val="0"/>
        <w:widowControl/>
      </w:pPr>
      <w:r>
        <w:rPr>
          <w:rFonts w:ascii="Arial" w:hAnsi="Arial"/>
          <w:b/>
          <w:color w:val="202C3B"/>
          <w:sz w:val="18"/>
        </w:rPr>
        <w:t xml:space="preserve">11.6  Removal.  </w:t>
      </w:r>
      <w:r>
        <w:rPr>
          <w:rFonts w:ascii="Arial" w:hAnsi="Arial"/>
          <w:color w:val="202C3B"/>
          <w:sz w:val="18"/>
        </w:rPr>
        <w:t>Design-Builder shall remove and replace nonconforming Work when reasonably necessary. If Owner directs retention, the parties shall document the accepted condition and adjustment. Design-Builder is not required to destroy conforming Work without a Change.</w:t>
      </w:r>
    </w:p>
    <w:p>
      <w:pPr>
        <w:pStyle w:val="Heading1"/>
      </w:pPr>
      <w:r>
        <w:t>ARTICLE 12  |  DESIGN DOCUMENTS AND USE RIGHTS</w:t>
      </w:r>
    </w:p>
    <w:p>
      <w:pPr>
        <w:keepLines w:val="0"/>
        <w:widowControl/>
      </w:pPr>
      <w:r>
        <w:rPr>
          <w:rFonts w:ascii="Arial" w:hAnsi="Arial"/>
          <w:b/>
          <w:color w:val="202C3B"/>
          <w:sz w:val="18"/>
        </w:rPr>
        <w:t xml:space="preserve">12.1  Ownership.  </w:t>
      </w:r>
      <w:r>
        <w:rPr>
          <w:rFonts w:ascii="Arial" w:hAnsi="Arial"/>
          <w:color w:val="202C3B"/>
          <w:sz w:val="18"/>
        </w:rPr>
        <w:t>Design-Builder, the Design Professionals, and consultants retain ownership of their Instruments of Service and the copyrights and professional rights in them. The Contract does not transfer authorship or ownership. Project-specific data and documents furnished by Owner remain Owner's property.</w:t>
      </w:r>
    </w:p>
    <w:p>
      <w:pPr>
        <w:keepLines w:val="0"/>
        <w:widowControl/>
      </w:pPr>
      <w:r>
        <w:rPr>
          <w:rFonts w:ascii="Arial" w:hAnsi="Arial"/>
          <w:b/>
          <w:color w:val="202C3B"/>
          <w:sz w:val="18"/>
        </w:rPr>
        <w:t xml:space="preserve">12.2  Project License.  </w:t>
      </w:r>
      <w:r>
        <w:rPr>
          <w:rFonts w:ascii="Arial" w:hAnsi="Arial"/>
          <w:color w:val="202C3B"/>
          <w:sz w:val="18"/>
        </w:rPr>
        <w:t>Upon timely payment of all amounts due for the applicable Instruments of Service, Design-Builder grants Owner a nonexclusive license to use them solely to construct, occupy, maintain, repair, and alter this Project. The license may be shared with Owner's consultants, lenders, and contractors only for those purposes and subject to the same restrictions.</w:t>
      </w:r>
    </w:p>
    <w:p>
      <w:pPr>
        <w:keepLines w:val="0"/>
        <w:widowControl/>
      </w:pPr>
      <w:r>
        <w:rPr>
          <w:rFonts w:ascii="Arial" w:hAnsi="Arial"/>
          <w:b/>
          <w:color w:val="202C3B"/>
          <w:sz w:val="18"/>
        </w:rPr>
        <w:t xml:space="preserve">12.3  Suspension or Nonpayment.  </w:t>
      </w:r>
      <w:r>
        <w:rPr>
          <w:rFonts w:ascii="Arial" w:hAnsi="Arial"/>
          <w:color w:val="202C3B"/>
          <w:sz w:val="18"/>
        </w:rPr>
        <w:t>The Project license is conditioned on Owner's material compliance with payment obligations. During an uncured payment default, Design-Builder may suspend further use of incomplete Instruments of Service after written notice to the extent permitted by law. Use already authorized for safety or preservation may continue.</w:t>
      </w:r>
    </w:p>
    <w:p>
      <w:pPr>
        <w:keepLines w:val="0"/>
        <w:widowControl/>
      </w:pPr>
      <w:r>
        <w:rPr>
          <w:rFonts w:ascii="Arial" w:hAnsi="Arial"/>
          <w:b/>
          <w:color w:val="202C3B"/>
          <w:sz w:val="18"/>
        </w:rPr>
        <w:t xml:space="preserve">12.4  Termination Use.  </w:t>
      </w:r>
      <w:r>
        <w:rPr>
          <w:rFonts w:ascii="Arial" w:hAnsi="Arial"/>
          <w:color w:val="202C3B"/>
          <w:sz w:val="18"/>
        </w:rPr>
        <w:t>If Owner terminates Design-Builder without cause and pays all termination amounts, the Project license continues for completion by others. If Design-Builder is properly terminated for cause, Owner may use completed Instruments of Service for the Project after paying undisputed amounts and subject to any rights of the authoring Design Professional. Design-Builder does not warrant revisions or completion by others.</w:t>
      </w:r>
    </w:p>
    <w:p>
      <w:pPr>
        <w:keepLines w:val="0"/>
        <w:widowControl/>
      </w:pPr>
      <w:r>
        <w:rPr>
          <w:rFonts w:ascii="Arial" w:hAnsi="Arial"/>
          <w:b/>
          <w:color w:val="202C3B"/>
          <w:sz w:val="18"/>
        </w:rPr>
        <w:t xml:space="preserve">12.5  Modification by Others.  </w:t>
      </w:r>
      <w:r>
        <w:rPr>
          <w:rFonts w:ascii="Arial" w:hAnsi="Arial"/>
          <w:color w:val="202C3B"/>
          <w:sz w:val="18"/>
        </w:rPr>
        <w:t>Owner assumes responsibility for changes to Instruments of Service made without the written involvement of the responsible Design Professional. To the fullest extent permitted by law, Owner shall protect Design-Builder and the authoring professionals from third-party claims caused by such unauthorized changes or use on another project.</w:t>
      </w:r>
    </w:p>
    <w:p>
      <w:pPr>
        <w:keepLines w:val="0"/>
        <w:widowControl/>
      </w:pPr>
      <w:r>
        <w:rPr>
          <w:rFonts w:ascii="Arial" w:hAnsi="Arial"/>
          <w:b/>
          <w:color w:val="202C3B"/>
          <w:sz w:val="18"/>
        </w:rPr>
        <w:t xml:space="preserve">12.6  Digital Models.  </w:t>
      </w:r>
      <w:r>
        <w:rPr>
          <w:rFonts w:ascii="Arial" w:hAnsi="Arial"/>
          <w:color w:val="202C3B"/>
          <w:sz w:val="18"/>
        </w:rPr>
        <w:t>Models and editable files may contain information developed for a particular purpose and level of detail. Unless the parties sign a model-use protocol, two-dimensional signed or issued documents control, and no party may rely on a model for dimensions, quantities, fabrication, or coordination beyond the use expressly stated by Design-Builder.</w:t>
      </w:r>
    </w:p>
    <w:p>
      <w:pPr>
        <w:pStyle w:val="Heading1"/>
      </w:pPr>
      <w:r>
        <w:t>ARTICLE 13  |  SUSPENSION AND TERMINATION</w:t>
      </w:r>
    </w:p>
    <w:p>
      <w:pPr>
        <w:keepLines w:val="0"/>
        <w:widowControl/>
      </w:pPr>
      <w:r>
        <w:rPr>
          <w:rFonts w:ascii="Arial" w:hAnsi="Arial"/>
          <w:b/>
          <w:color w:val="202C3B"/>
          <w:sz w:val="18"/>
        </w:rPr>
        <w:t xml:space="preserve">13.1  Design-Builder Suspension Before Exhibit A.  </w:t>
      </w:r>
      <w:r>
        <w:rPr>
          <w:rFonts w:ascii="Arial" w:hAnsi="Arial"/>
          <w:color w:val="202C3B"/>
          <w:sz w:val="18"/>
        </w:rPr>
        <w:t>Design-Builder may suspend Phase One after seven days' written notice if Owner fails to pay an undisputed amount, provide required criteria or information, make a material decision, or furnish reasonable evidence of financing. Design-Builder has no liability for delay caused by a permitted suspension. Owner shall pay accrued amounts and reasonable shutdown and restart costs, and the schedule will be adjusted.</w:t>
      </w:r>
    </w:p>
    <w:p>
      <w:pPr>
        <w:keepLines w:val="0"/>
        <w:widowControl/>
      </w:pPr>
      <w:r>
        <w:rPr>
          <w:rFonts w:ascii="Arial" w:hAnsi="Arial"/>
          <w:b/>
          <w:color w:val="202C3B"/>
          <w:sz w:val="18"/>
        </w:rPr>
        <w:t xml:space="preserve">13.2  Owner Suspension Before Exhibit A.  </w:t>
      </w:r>
      <w:r>
        <w:rPr>
          <w:rFonts w:ascii="Arial" w:hAnsi="Arial"/>
          <w:color w:val="202C3B"/>
          <w:sz w:val="18"/>
        </w:rPr>
        <w:t>Owner may suspend Phase One for convenience by written notice. Owner shall pay services performed, reimbursable expenses, noncancelable commitments, consultant and cancellation charges, and reasonable suspension and restart cost. If suspension exceeds thirty consecutive days, Design-Builder may require revised compensation and schedule; if it exceeds ninety cumulative days, Design-Builder may terminate on seven days' notice.</w:t>
      </w:r>
    </w:p>
    <w:p>
      <w:pPr>
        <w:keepLines w:val="0"/>
        <w:widowControl/>
      </w:pPr>
      <w:r>
        <w:rPr>
          <w:rFonts w:ascii="Arial" w:hAnsi="Arial"/>
          <w:b/>
          <w:color w:val="202C3B"/>
          <w:sz w:val="18"/>
        </w:rPr>
        <w:t xml:space="preserve">13.3  Termination Before Exhibit A.  </w:t>
      </w:r>
      <w:r>
        <w:rPr>
          <w:rFonts w:ascii="Arial" w:hAnsi="Arial"/>
          <w:color w:val="202C3B"/>
          <w:sz w:val="18"/>
        </w:rPr>
        <w:t>Either party may terminate for a material breach not cured within seven days after written notice, or within a longer reasonable cure period if cure begins promptly and is diligently pursued. Owner may also terminate for convenience on seven days' notice. When termination is not caused by Design-Builder's uncured breach, Owner shall pay all Phase One invoices, earned fee, reimbursable expenses, consultant and procurement commitments, cancellation and closeout cost, and other reasonable termination expense.</w:t>
      </w:r>
    </w:p>
    <w:p>
      <w:pPr>
        <w:keepLines w:val="0"/>
        <w:widowControl/>
      </w:pPr>
      <w:r>
        <w:rPr>
          <w:rFonts w:ascii="Arial" w:hAnsi="Arial"/>
          <w:b/>
          <w:color w:val="202C3B"/>
          <w:sz w:val="18"/>
        </w:rPr>
        <w:t xml:space="preserve">13.4  Design-Builder Termination After Exhibit A.  </w:t>
      </w:r>
      <w:r>
        <w:rPr>
          <w:rFonts w:ascii="Arial" w:hAnsi="Arial"/>
          <w:color w:val="202C3B"/>
          <w:sz w:val="18"/>
        </w:rPr>
        <w:t>Design-Builder may terminate on seven days' written notice if Work is stopped for thirty consecutive days through no fault of Design-Builder because of governmental order, prolonged casualty, Owner's failure to pay, Owner's failure to furnish financing evidence, or another material Owner breach. Design-Builder may also terminate if repeated Owner suspensions total more than one hundred days or materially disrupt the Project.</w:t>
      </w:r>
    </w:p>
    <w:p>
      <w:pPr>
        <w:keepLines w:val="0"/>
        <w:widowControl/>
      </w:pPr>
      <w:r>
        <w:rPr>
          <w:rFonts w:ascii="Arial" w:hAnsi="Arial"/>
          <w:b/>
          <w:color w:val="202C3B"/>
          <w:sz w:val="18"/>
        </w:rPr>
        <w:t xml:space="preserve">13.5  Owner Termination for Cause.  </w:t>
      </w:r>
      <w:r>
        <w:rPr>
          <w:rFonts w:ascii="Arial" w:hAnsi="Arial"/>
          <w:color w:val="202C3B"/>
          <w:sz w:val="18"/>
        </w:rPr>
        <w:t>Owner may terminate for cause if Design-Builder persistently fails to supply qualified labor or materials, materially fails to comply with law, persistently disregards the Contract, or commits another material breach, and fails to cure after seven days' written notice or, if cure reasonably requires longer, fails to begin and diligently continue cure. Owner may take possession of paid-for materials and accept assignment of selected Project agreements. If the unpaid GMP balance exceeds Owner's reasonable, documented completion cost and recoverable direct damages, the excess remains payable to Design-Builder. If completion cost exceeds the unpaid balance, Design-Builder is responsible only to the extent finally determined under Article 14.</w:t>
      </w:r>
    </w:p>
    <w:p>
      <w:pPr>
        <w:keepLines w:val="0"/>
        <w:widowControl/>
      </w:pPr>
      <w:r>
        <w:rPr>
          <w:rFonts w:ascii="Arial" w:hAnsi="Arial"/>
          <w:b/>
          <w:color w:val="202C3B"/>
          <w:sz w:val="18"/>
        </w:rPr>
        <w:t xml:space="preserve">13.6  Owner Termination for Convenience.  </w:t>
      </w:r>
      <w:r>
        <w:rPr>
          <w:rFonts w:ascii="Arial" w:hAnsi="Arial"/>
          <w:color w:val="202C3B"/>
          <w:sz w:val="18"/>
        </w:rPr>
        <w:t>Owner may terminate all or part of the Work for convenience on seven days' written notice. Design-Builder shall stop as directed, protect the Work, and terminate affected lower-tier commitments where commercially reasonable. Owner shall pay, without duplication:</w:t>
      </w:r>
    </w:p>
    <w:p>
      <w:pPr>
        <w:pStyle w:val="ListBullet"/>
      </w:pPr>
      <w:r>
        <w:t>All unpaid Phase One and construction invoices and Cost of the Work incurred through the effective date.</w:t>
      </w:r>
    </w:p>
    <w:p>
      <w:pPr>
        <w:pStyle w:val="ListBullet"/>
      </w:pPr>
      <w:r>
        <w:t>Materials and equipment fabricated, delivered, stored, ordered, or committed for the Project, together with reasonable storage, transport, restocking, and disposition cost.</w:t>
      </w:r>
    </w:p>
    <w:p>
      <w:pPr>
        <w:pStyle w:val="ListBullet"/>
      </w:pPr>
      <w:r>
        <w:t>Design Professional, subcontractor, supplier, lease, permit, insurance, bond, and other cancellation or settlement charges.</w:t>
      </w:r>
    </w:p>
    <w:p>
      <w:pPr>
        <w:pStyle w:val="ListBullet"/>
      </w:pPr>
      <w:r>
        <w:t>Protection, closeout, demobilization, and termination-administration cost.</w:t>
      </w:r>
    </w:p>
    <w:p>
      <w:pPr>
        <w:pStyle w:val="ListBullet"/>
      </w:pPr>
      <w:r>
        <w:t>Design-Builder's Fee on Cost of the Work and commitments through termination, plus the Fee or profit Design-Builder would have earned on the unperformed balance, less demonstrable cost actually avoided because of termination.</w:t>
      </w:r>
    </w:p>
    <w:p>
      <w:pPr>
        <w:pStyle w:val="ListBullet"/>
      </w:pPr>
      <w:r>
        <w:t>Unrecovered Project general conditions and home-office overhead reasonably allocable to the terminated Work.</w:t>
      </w:r>
    </w:p>
    <w:p>
      <w:pPr>
        <w:keepLines w:val="0"/>
        <w:widowControl/>
      </w:pPr>
      <w:r>
        <w:rPr>
          <w:rFonts w:ascii="Arial" w:hAnsi="Arial"/>
          <w:b/>
          <w:color w:val="202C3B"/>
          <w:sz w:val="18"/>
        </w:rPr>
        <w:t xml:space="preserve">13.7  Owner Suspension After Exhibit A.  </w:t>
      </w:r>
      <w:r>
        <w:rPr>
          <w:rFonts w:ascii="Arial" w:hAnsi="Arial"/>
          <w:color w:val="202C3B"/>
          <w:sz w:val="18"/>
        </w:rPr>
        <w:t>Owner may suspend, delay, or interrupt Work for convenience by written notice. GMP and Contract Time shall be adjusted for protection, standby, escalation, storage, consultant and lower-tier claims, demobilization, remobilization, extended general conditions, Fee, and other reasonable effects. A suspension longer than thirty consecutive days permits Design-Builder to require revised commercial terms; a suspension longer than sixty consecutive days permits termination of the suspended Work.</w:t>
      </w:r>
    </w:p>
    <w:p>
      <w:pPr>
        <w:keepLines w:val="0"/>
        <w:widowControl/>
      </w:pPr>
      <w:r>
        <w:rPr>
          <w:rFonts w:ascii="Arial" w:hAnsi="Arial"/>
          <w:b/>
          <w:color w:val="202C3B"/>
          <w:sz w:val="18"/>
        </w:rPr>
        <w:t xml:space="preserve">13.8  Payment and Title at Termination.  </w:t>
      </w:r>
      <w:r>
        <w:rPr>
          <w:rFonts w:ascii="Arial" w:hAnsi="Arial"/>
          <w:color w:val="202C3B"/>
          <w:sz w:val="18"/>
        </w:rPr>
        <w:t>Owner's right to use Instruments of Service, take materials, or accept assignments after termination is conditioned on payment of the amounts due for those items. Title transfers only to the extent Owner has paid, subject to applicable lien and surety rights. Termination does not waive Claims or obligations intended to survive.</w:t>
      </w:r>
    </w:p>
    <w:p>
      <w:pPr>
        <w:pStyle w:val="Heading1"/>
      </w:pPr>
      <w:r>
        <w:t>ARTICLE 14  |  CLAIMS AND DISPUTE PROCESS</w:t>
      </w:r>
    </w:p>
    <w:p>
      <w:pPr>
        <w:keepLines w:val="0"/>
        <w:widowControl/>
      </w:pPr>
      <w:r>
        <w:rPr>
          <w:rFonts w:ascii="Arial" w:hAnsi="Arial"/>
          <w:b/>
          <w:color w:val="202C3B"/>
          <w:sz w:val="18"/>
        </w:rPr>
        <w:t xml:space="preserve">14.1  Claim.  </w:t>
      </w:r>
      <w:r>
        <w:rPr>
          <w:rFonts w:ascii="Arial" w:hAnsi="Arial"/>
          <w:color w:val="202C3B"/>
          <w:sz w:val="18"/>
        </w:rPr>
        <w:t>A Claim is a written demand for payment, time, interpretation, or other contractual relief that the parties have not resolved through ordinary Project administration. The party making a Claim bears the burden of reasonable support.</w:t>
      </w:r>
    </w:p>
    <w:p>
      <w:pPr>
        <w:keepLines w:val="0"/>
        <w:widowControl/>
      </w:pPr>
      <w:r>
        <w:rPr>
          <w:rFonts w:ascii="Arial" w:hAnsi="Arial"/>
          <w:b/>
          <w:color w:val="202C3B"/>
          <w:sz w:val="18"/>
        </w:rPr>
        <w:t xml:space="preserve">14.2  Notice.  </w:t>
      </w:r>
      <w:r>
        <w:rPr>
          <w:rFonts w:ascii="Arial" w:hAnsi="Arial"/>
          <w:color w:val="202C3B"/>
          <w:sz w:val="18"/>
        </w:rPr>
        <w:t>A party shall give notice within twenty-one days after it reasonably recognizes the event and its likely contractual effect, unless a shorter specific period applies. The notice shall identify the event and requested category of relief. Detailed cost or time support may follow as information becomes available. Late notice bars recovery only to the extent the other party proves material prejudice, except where mandatory law requires a different result.</w:t>
      </w:r>
    </w:p>
    <w:p>
      <w:pPr>
        <w:keepLines w:val="0"/>
        <w:widowControl/>
      </w:pPr>
      <w:r>
        <w:rPr>
          <w:rFonts w:ascii="Arial" w:hAnsi="Arial"/>
          <w:b/>
          <w:color w:val="202C3B"/>
          <w:sz w:val="18"/>
        </w:rPr>
        <w:t xml:space="preserve">14.3  Continue Undisputed Work and Payment.  </w:t>
      </w:r>
      <w:r>
        <w:rPr>
          <w:rFonts w:ascii="Arial" w:hAnsi="Arial"/>
          <w:color w:val="202C3B"/>
          <w:sz w:val="18"/>
        </w:rPr>
        <w:t>While a Claim is pending, Design-Builder shall continue undisputed Work to the extent lawful, safe, and funded, and Owner shall continue paying all undisputed amounts. This section does not limit Design-Builder's express suspension or termination rights.</w:t>
      </w:r>
    </w:p>
    <w:p>
      <w:pPr>
        <w:keepLines w:val="0"/>
        <w:widowControl/>
      </w:pPr>
      <w:r>
        <w:rPr>
          <w:rFonts w:ascii="Arial" w:hAnsi="Arial"/>
          <w:b/>
          <w:color w:val="202C3B"/>
          <w:sz w:val="18"/>
        </w:rPr>
        <w:t xml:space="preserve">14.4  Project-Level Discussion.  </w:t>
      </w:r>
      <w:r>
        <w:rPr>
          <w:rFonts w:ascii="Arial" w:hAnsi="Arial"/>
          <w:color w:val="202C3B"/>
          <w:sz w:val="18"/>
        </w:rPr>
        <w:t>Authorized Project representatives shall first meet and exchange available support. A discussion, interim payment, or schedule accommodation does not waive the Claim unless the parties sign a settlement or Change Order.</w:t>
      </w:r>
    </w:p>
    <w:p>
      <w:pPr>
        <w:keepLines w:val="0"/>
        <w:widowControl/>
      </w:pPr>
      <w:r>
        <w:rPr>
          <w:rFonts w:ascii="Arial" w:hAnsi="Arial"/>
          <w:b/>
          <w:color w:val="202C3B"/>
          <w:sz w:val="18"/>
        </w:rPr>
        <w:t xml:space="preserve">14.5  Executive Negotiation.  </w:t>
      </w:r>
      <w:r>
        <w:rPr>
          <w:rFonts w:ascii="Arial" w:hAnsi="Arial"/>
          <w:color w:val="202C3B"/>
          <w:sz w:val="18"/>
        </w:rPr>
        <w:t>If unresolved after ten days, either party may request executive negotiation. Each party shall designate a senior representative with settlement authority and meet within ten days of the request, in person or remotely.</w:t>
      </w:r>
    </w:p>
    <w:p>
      <w:pPr>
        <w:keepLines w:val="0"/>
        <w:widowControl/>
      </w:pPr>
      <w:r>
        <w:rPr>
          <w:rFonts w:ascii="Arial" w:hAnsi="Arial"/>
          <w:b/>
          <w:color w:val="202C3B"/>
          <w:sz w:val="18"/>
        </w:rPr>
        <w:t xml:space="preserve">14.6  Mediation.  </w:t>
      </w:r>
      <w:r>
        <w:rPr>
          <w:rFonts w:ascii="Arial" w:hAnsi="Arial"/>
          <w:color w:val="202C3B"/>
          <w:sz w:val="18"/>
        </w:rPr>
        <w:t>A Claim unresolved through executive negotiation shall be submitted to nonbinding mediation before binding adjudication, unless immediate relief is reasonably necessary to preserve lien, bond, limitation, insurance, or emergency rights. The parties shall share the mediator's fee equally and bear their own other expenses.</w:t>
      </w:r>
    </w:p>
    <w:p>
      <w:pPr>
        <w:keepLines w:val="0"/>
        <w:widowControl/>
      </w:pPr>
      <w:r>
        <w:rPr>
          <w:rFonts w:ascii="Arial" w:hAnsi="Arial"/>
          <w:b/>
          <w:color w:val="202C3B"/>
          <w:sz w:val="18"/>
        </w:rPr>
        <w:t xml:space="preserve">14.7  Binding Resolution.  </w:t>
      </w:r>
      <w:r>
        <w:rPr>
          <w:rFonts w:ascii="Arial" w:hAnsi="Arial"/>
          <w:color w:val="202C3B"/>
          <w:sz w:val="18"/>
        </w:rPr>
        <w:t>After mediation concludes or sixty days after a mediation demand without a completed mediation, either party may proceed under the binding method selected in Article 1. The tribunal may award remedies allowed by the Contract and applicable law.</w:t>
      </w:r>
    </w:p>
    <w:p>
      <w:pPr>
        <w:keepLines w:val="0"/>
        <w:widowControl/>
      </w:pPr>
      <w:r>
        <w:rPr>
          <w:rFonts w:ascii="Arial" w:hAnsi="Arial"/>
          <w:b/>
          <w:color w:val="202C3B"/>
          <w:sz w:val="18"/>
        </w:rPr>
        <w:t xml:space="preserve">14.8  Lien, Bond, and Provisional Rights.  </w:t>
      </w:r>
      <w:r>
        <w:rPr>
          <w:rFonts w:ascii="Arial" w:hAnsi="Arial"/>
          <w:color w:val="202C3B"/>
          <w:sz w:val="18"/>
        </w:rPr>
        <w:t>Nothing in the dispute process waives or postpones a mechanic's lien, bond claim, stop notice, insurance notice, statutory payment remedy, or request for temporary or emergency relief. A party may take the filing step necessary to preserve the right while continuing the dispute process.</w:t>
      </w:r>
    </w:p>
    <w:p>
      <w:pPr>
        <w:keepLines w:val="0"/>
        <w:widowControl/>
      </w:pPr>
      <w:r>
        <w:rPr>
          <w:rFonts w:ascii="Arial" w:hAnsi="Arial"/>
          <w:b/>
          <w:color w:val="202C3B"/>
          <w:sz w:val="18"/>
        </w:rPr>
        <w:t xml:space="preserve">14.9  Consequential Damages.  </w:t>
      </w:r>
      <w:r>
        <w:rPr>
          <w:rFonts w:ascii="Arial" w:hAnsi="Arial"/>
          <w:color w:val="202C3B"/>
          <w:sz w:val="18"/>
        </w:rPr>
        <w:t>Except for payment obligations, termination compensation expressly required by Article 13, insured loss, indemnity to a third party, fraud, willful misconduct, confidentiality breach, or unauthorized use of Instruments of Service, each party waives consequential damages such as loss of unrelated business, financing opportunity, reputation, or remote profit. Design-Builder's lost Fee or profit expressly payable upon convenience termination is direct contract compensation and is not waived.</w:t>
      </w:r>
    </w:p>
    <w:p>
      <w:pPr>
        <w:pStyle w:val="Heading1"/>
      </w:pPr>
      <w:r>
        <w:t>ARTICLE 15  |  GENERAL CONTRACT TERMS</w:t>
      </w:r>
    </w:p>
    <w:p>
      <w:pPr>
        <w:keepLines w:val="0"/>
        <w:widowControl/>
      </w:pPr>
      <w:r>
        <w:rPr>
          <w:rFonts w:ascii="Arial" w:hAnsi="Arial"/>
          <w:b/>
          <w:color w:val="202C3B"/>
          <w:sz w:val="18"/>
        </w:rPr>
        <w:t xml:space="preserve">15.1  Governing Law.  </w:t>
      </w:r>
      <w:r>
        <w:rPr>
          <w:rFonts w:ascii="Arial" w:hAnsi="Arial"/>
          <w:color w:val="202C3B"/>
          <w:sz w:val="18"/>
        </w:rPr>
        <w:t>Kentucky law governs unless Exhibit A expressly identifies another Project-state law. Mandatory law at the Project location controls construction, licensing, lien, payment, safety, and professional-service matters where it cannot be varied by contract.</w:t>
      </w:r>
    </w:p>
    <w:p>
      <w:pPr>
        <w:keepLines w:val="0"/>
        <w:widowControl/>
      </w:pPr>
      <w:r>
        <w:rPr>
          <w:rFonts w:ascii="Arial" w:hAnsi="Arial"/>
          <w:b/>
          <w:color w:val="202C3B"/>
          <w:sz w:val="18"/>
        </w:rPr>
        <w:t xml:space="preserve">15.2  Assignment.  </w:t>
      </w:r>
      <w:r>
        <w:rPr>
          <w:rFonts w:ascii="Arial" w:hAnsi="Arial"/>
          <w:color w:val="202C3B"/>
          <w:sz w:val="18"/>
        </w:rPr>
        <w:t>Neither party may assign the entire Contract without the other's written consent, except Owner may assign to a construction lender that assumes Owner's obligations and Design-Builder may assign receivables for financing. Consent will not be unreasonably withheld. No assignment releases the assigning party unless the other party agrees in writing.</w:t>
      </w:r>
    </w:p>
    <w:p>
      <w:pPr>
        <w:keepLines w:val="0"/>
        <w:widowControl/>
      </w:pPr>
      <w:r>
        <w:rPr>
          <w:rFonts w:ascii="Arial" w:hAnsi="Arial"/>
          <w:b/>
          <w:color w:val="202C3B"/>
          <w:sz w:val="18"/>
        </w:rPr>
        <w:t xml:space="preserve">15.3  Notices.  </w:t>
      </w:r>
      <w:r>
        <w:rPr>
          <w:rFonts w:ascii="Arial" w:hAnsi="Arial"/>
          <w:color w:val="202C3B"/>
          <w:sz w:val="18"/>
        </w:rPr>
        <w:t>A Contract notice is effective when delivered personally, by nationally recognized overnight service, by certified mail, or by email with confirmation to the addresses stated below. A notice of default, suspension, or termination sent by email shall also be sent by one of the other methods. Statutory notices must follow the statute.</w:t>
      </w:r>
    </w:p>
    <w:tbl>
      <w:tblPr>
        <w:tblStyle w:val="TableGrid"/>
        <w:tblW w:type="dxa" w:w="9360"/>
        <w:jc w:val="left"/>
        <w:tblLayout w:type="fixed"/>
        <w:tblLook w:firstColumn="1" w:firstRow="1" w:lastColumn="0" w:lastRow="0" w:noHBand="0" w:noVBand="1" w:val="04A0"/>
        <w:tblInd w:w="90" w:type="dxa"/>
      </w:tblPr>
      <w:tblGrid>
        <w:gridCol w:w="2736"/>
        <w:gridCol w:w="6624"/>
      </w:tblGrid>
      <w:tr>
        <w:trPr>
          <w:cantSplit/>
          <w:tblHeader/>
        </w:trPr>
        <w:tc>
          <w:tcPr>
            <w:tcW w:type="dxa" w:w="273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NOTICE PARTY</w:t>
            </w:r>
          </w:p>
        </w:tc>
        <w:tc>
          <w:tcPr>
            <w:tcW w:type="dxa" w:w="662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NOTICE ADDRESS / EMAIL</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Owner</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Design-Builder</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Mefford Contracting, LLC | 1585 Mercer Road, Suite 110, Lexington, Kentucky 40511</w:t>
            </w:r>
          </w:p>
        </w:tc>
      </w:tr>
      <w:tr>
        <w:trPr>
          <w:cantSplit/>
        </w:trPr>
        <w:tc>
          <w:tcPr>
            <w:tcW w:type="dxa" w:w="2736"/>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Additional notice recipient</w:t>
            </w:r>
          </w:p>
        </w:tc>
        <w:tc>
          <w:tcPr>
            <w:tcW w:type="dxa" w:w="662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15.4  Project-Specific Audit.  </w:t>
      </w:r>
      <w:r>
        <w:rPr>
          <w:rFonts w:ascii="Arial" w:hAnsi="Arial"/>
          <w:color w:val="202C3B"/>
          <w:sz w:val="18"/>
        </w:rPr>
        <w:t>Owner may audit only the Project cost categories that are reimbursable under Exhibit A and only for the audit purpose, records, period, and procedure stated there. No general corporate audit right is created. Fixed fees, fixed rates, agreed markups, lump-sum subcontracts, proprietary labor burdens, and unrelated records are not subject to cost disallowance after agreement, except for mathematical error, duplicate billing, or fraud. An audit will be conducted on reasonable notice, during business hours, and under confidentiality protections.</w:t>
      </w:r>
    </w:p>
    <w:p>
      <w:pPr>
        <w:keepLines w:val="0"/>
        <w:widowControl/>
      </w:pPr>
      <w:r>
        <w:rPr>
          <w:rFonts w:ascii="Arial" w:hAnsi="Arial"/>
          <w:b/>
          <w:color w:val="202C3B"/>
          <w:sz w:val="18"/>
        </w:rPr>
        <w:t xml:space="preserve">15.5  Tests and Inspections.  </w:t>
      </w:r>
      <w:r>
        <w:rPr>
          <w:rFonts w:ascii="Arial" w:hAnsi="Arial"/>
          <w:color w:val="202C3B"/>
          <w:sz w:val="18"/>
        </w:rPr>
        <w:t>Testing, inspections, approvals, and certificates shall be performed as allocated in the Contract and applicable law. Design-Builder shall give reasonable notice of tests it arranges. A failed test attributable to Design-Builder's nonconforming Work is Design-Builder's cost; additional or repeated testing not caused by Design-Builder is a Change.</w:t>
      </w:r>
    </w:p>
    <w:p>
      <w:pPr>
        <w:keepLines w:val="0"/>
        <w:widowControl/>
      </w:pPr>
      <w:r>
        <w:rPr>
          <w:rFonts w:ascii="Arial" w:hAnsi="Arial"/>
          <w:b/>
          <w:color w:val="202C3B"/>
          <w:sz w:val="18"/>
        </w:rPr>
        <w:t xml:space="preserve">15.6  Rights and Remedies.  </w:t>
      </w:r>
      <w:r>
        <w:rPr>
          <w:rFonts w:ascii="Arial" w:hAnsi="Arial"/>
          <w:color w:val="202C3B"/>
          <w:sz w:val="18"/>
        </w:rPr>
        <w:t>Rights and remedies are cumulative unless the Contract expressly makes one exclusive. Failure to enforce a provision once is not a waiver. A waiver is effective only in a signed writing and only for the stated instance.</w:t>
      </w:r>
    </w:p>
    <w:p>
      <w:pPr>
        <w:keepLines w:val="0"/>
        <w:widowControl/>
      </w:pPr>
      <w:r>
        <w:rPr>
          <w:rFonts w:ascii="Arial" w:hAnsi="Arial"/>
          <w:b/>
          <w:color w:val="202C3B"/>
          <w:sz w:val="18"/>
        </w:rPr>
        <w:t xml:space="preserve">15.7  Severability.  </w:t>
      </w:r>
      <w:r>
        <w:rPr>
          <w:rFonts w:ascii="Arial" w:hAnsi="Arial"/>
          <w:color w:val="202C3B"/>
          <w:sz w:val="18"/>
        </w:rPr>
        <w:t>If a provision is invalid or unenforceable, it will be limited or severed to the minimum extent necessary, and the remaining Contract will continue. The parties intend all payment, lien, indemnity, and delay terms to be enforced only to the extent permitted by mandatory law.</w:t>
      </w:r>
    </w:p>
    <w:p>
      <w:pPr>
        <w:keepLines w:val="0"/>
        <w:widowControl/>
      </w:pPr>
      <w:r>
        <w:rPr>
          <w:rFonts w:ascii="Arial" w:hAnsi="Arial"/>
          <w:b/>
          <w:color w:val="202C3B"/>
          <w:sz w:val="18"/>
        </w:rPr>
        <w:t xml:space="preserve">15.8  Interpretation.  </w:t>
      </w:r>
      <w:r>
        <w:rPr>
          <w:rFonts w:ascii="Arial" w:hAnsi="Arial"/>
          <w:color w:val="202C3B"/>
          <w:sz w:val="18"/>
        </w:rPr>
        <w:t>The Contract will be read as a negotiated whole, without a presumption against either drafter. Headings aid navigation but do not limit operative text. Singular includes plural where context requires. 'Include' and 'including' are not limiting. A specific Project term controls a general term on the same subject.</w:t>
      </w:r>
    </w:p>
    <w:p>
      <w:pPr>
        <w:keepLines w:val="0"/>
        <w:widowControl/>
      </w:pPr>
      <w:r>
        <w:rPr>
          <w:rFonts w:ascii="Arial" w:hAnsi="Arial"/>
          <w:b/>
          <w:color w:val="202C3B"/>
          <w:sz w:val="18"/>
        </w:rPr>
        <w:t xml:space="preserve">15.9  Order of Precedence.  </w:t>
      </w:r>
      <w:r>
        <w:rPr>
          <w:rFonts w:ascii="Arial" w:hAnsi="Arial"/>
          <w:color w:val="202C3B"/>
          <w:sz w:val="18"/>
        </w:rPr>
        <w:t>A later signed Change Order controls an earlier document on the same issue. Exhibit A controls Project-specific GMP, time, and Cost of the Work terms. This Agreement controls general legal and administrative terms. Specifically listed Owner Criteria and design documents control scope; Design-Builder's listed clarifications and exclusions qualify that scope. A more stringent requirement does not control merely because it is more stringent unless the documents clearly impose it.</w:t>
      </w:r>
    </w:p>
    <w:p>
      <w:pPr>
        <w:keepLines w:val="0"/>
        <w:widowControl/>
      </w:pPr>
      <w:r>
        <w:rPr>
          <w:rFonts w:ascii="Arial" w:hAnsi="Arial"/>
          <w:b/>
          <w:color w:val="202C3B"/>
          <w:sz w:val="18"/>
        </w:rPr>
        <w:t xml:space="preserve">15.10  Counterparts and Signatures.  </w:t>
      </w:r>
      <w:r>
        <w:rPr>
          <w:rFonts w:ascii="Arial" w:hAnsi="Arial"/>
          <w:color w:val="202C3B"/>
          <w:sz w:val="18"/>
        </w:rPr>
        <w:t>The Agreement, Exhibit A, and Modifications may be signed in counterparts and by legally valid electronic signature. Each counterpart is treated as an original and together they form one instrument.</w:t>
      </w:r>
    </w:p>
    <w:p>
      <w:pPr>
        <w:keepLines w:val="0"/>
        <w:widowControl/>
      </w:pPr>
      <w:r>
        <w:rPr>
          <w:rFonts w:ascii="Arial" w:hAnsi="Arial"/>
          <w:b/>
          <w:color w:val="202C3B"/>
          <w:sz w:val="18"/>
        </w:rPr>
        <w:t xml:space="preserve">15.11  Survival.  </w:t>
      </w:r>
      <w:r>
        <w:rPr>
          <w:rFonts w:ascii="Arial" w:hAnsi="Arial"/>
          <w:color w:val="202C3B"/>
          <w:sz w:val="18"/>
        </w:rPr>
        <w:t>Payment, audit limits, ownership and license, confidentiality, indemnity, correction obligations, Claims, dispute resolution, and terms that by their nature continue will survive completion or termination.</w:t>
      </w:r>
    </w:p>
    <w:p>
      <w:pPr>
        <w:pStyle w:val="Heading1"/>
      </w:pPr>
      <w:r>
        <w:t>ARTICLE 16  |  CONTRACT DOCUMENTS AND SIGNATURES</w:t>
      </w:r>
    </w:p>
    <w:p>
      <w:pPr>
        <w:keepLines w:val="0"/>
        <w:widowControl/>
      </w:pPr>
      <w:r>
        <w:rPr>
          <w:rFonts w:ascii="Arial" w:hAnsi="Arial"/>
          <w:b/>
          <w:color w:val="202C3B"/>
          <w:sz w:val="18"/>
        </w:rPr>
        <w:t xml:space="preserve">16.1  Included Documents.  </w:t>
      </w:r>
      <w:r>
        <w:rPr>
          <w:rFonts w:ascii="Arial" w:hAnsi="Arial"/>
          <w:color w:val="202C3B"/>
          <w:sz w:val="18"/>
        </w:rPr>
        <w:t>Only the documents listed below are incorporated. A proposal, estimate, drawing, specification, report, or schedule is not part of the Contract unless identified by title, date, and revision. Exhibit A becomes effective only when signed by both parties.</w:t>
      </w:r>
    </w:p>
    <w:tbl>
      <w:tblPr>
        <w:tblStyle w:val="TableGrid"/>
        <w:tblW w:type="dxa" w:w="9360"/>
        <w:jc w:val="left"/>
        <w:tblLayout w:type="fixed"/>
        <w:tblLook w:firstColumn="1" w:firstRow="1" w:lastColumn="0" w:lastRow="0" w:noHBand="0" w:noVBand="1" w:val="04A0"/>
        <w:tblInd w:w="90" w:type="dxa"/>
      </w:tblPr>
      <w:tblGrid>
        <w:gridCol w:w="1512"/>
        <w:gridCol w:w="3528"/>
        <w:gridCol w:w="1656"/>
        <w:gridCol w:w="2664"/>
      </w:tblGrid>
      <w:tr>
        <w:trPr>
          <w:cantSplit/>
          <w:tblHeader/>
        </w:trPr>
        <w:tc>
          <w:tcPr>
            <w:tcW w:type="dxa" w:w="1512"/>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DOCUMENT</w:t>
            </w:r>
          </w:p>
        </w:tc>
        <w:tc>
          <w:tcPr>
            <w:tcW w:type="dxa" w:w="3528"/>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TITLE / IDENTIFIER</w:t>
            </w:r>
          </w:p>
        </w:tc>
        <w:tc>
          <w:tcPr>
            <w:tcW w:type="dxa" w:w="1656"/>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DATE / REVISION</w:t>
            </w:r>
          </w:p>
        </w:tc>
        <w:tc>
          <w:tcPr>
            <w:tcW w:type="dxa" w:w="2664"/>
            <w:vAlign w:val="center"/>
            <w:tcMar>
              <w:top w:w="90" w:type="dxa"/>
              <w:start w:w="90" w:type="dxa"/>
              <w:bottom w:w="90" w:type="dxa"/>
              <w:end w:w="90" w:type="dxa"/>
            </w:tcMar>
            <w:shd w:fill="202C3B" w:val="clear"/>
          </w:tcPr>
          <w:p>
            <w:pPr>
              <w:spacing w:before="0" w:after="0" w:line="240" w:lineRule="auto"/>
            </w:pPr>
            <w:r>
              <w:rPr>
                <w:rFonts w:ascii="Arial" w:hAnsi="Arial"/>
                <w:b/>
                <w:color w:val="FFFFFF"/>
                <w:sz w:val="15"/>
              </w:rPr>
              <w:t>PURPOSE</w:t>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This Agreement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MC-OWN-DBGMP-001 REV. 3.0</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Phase One and Project framework</w:t>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Exhibit A</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Design-Build GMP Amendment</w:t>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t>Effective only when later signed</w:t>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Attachment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Attachment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Attachment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Attachment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r>
        <w:trPr>
          <w:cantSplit/>
        </w:trPr>
        <w:tc>
          <w:tcPr>
            <w:tcW w:type="dxa" w:w="1512"/>
            <w:vAlign w:val="center"/>
            <w:tcMar>
              <w:top w:w="90" w:type="dxa"/>
              <w:start w:w="90" w:type="dxa"/>
              <w:bottom w:w="90" w:type="dxa"/>
              <w:end w:w="90" w:type="dxa"/>
            </w:tcMar>
            <w:shd w:fill="F2F3F5" w:val="clear"/>
          </w:tcPr>
          <w:p>
            <w:pPr>
              <w:spacing w:before="0" w:after="0" w:line="240" w:lineRule="auto"/>
            </w:pPr>
            <w:r>
              <w:rPr>
                <w:rFonts w:ascii="Arial" w:hAnsi="Arial"/>
                <w:b/>
                <w:color w:val="202C3B"/>
                <w:sz w:val="16"/>
              </w:rPr>
              <w:t>Attachment</w:t>
            </w:r>
          </w:p>
        </w:tc>
        <w:tc>
          <w:tcPr>
            <w:tcW w:type="dxa" w:w="3528"/>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1656"/>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c>
          <w:tcPr>
            <w:tcW w:type="dxa" w:w="2664"/>
            <w:vAlign w:val="center"/>
            <w:tcMar>
              <w:top w:w="90" w:type="dxa"/>
              <w:start w:w="90" w:type="dxa"/>
              <w:bottom w:w="90" w:type="dxa"/>
              <w:end w:w="90" w:type="dxa"/>
            </w:tcMar>
            <w:shd w:fill="F8ECEA" w:val="clear"/>
          </w:tcPr>
          <w:p>
            <w:pPr>
              <w:spacing w:before="0" w:after="0" w:line="240" w:lineRule="auto"/>
            </w:pPr>
            <w:r>
              <w:rPr>
                <w:rFonts w:ascii="Arial" w:hAnsi="Arial"/>
                <w:b w:val="0"/>
                <w:color w:val="202C3B"/>
                <w:sz w:val="16"/>
              </w:rPr>
            </w:r>
          </w:p>
        </w:tc>
      </w:tr>
    </w:tbl>
    <w:p>
      <w:pPr>
        <w:spacing w:after="40"/>
      </w:pPr>
    </w:p>
    <w:p>
      <w:pPr>
        <w:keepLines w:val="0"/>
        <w:widowControl/>
      </w:pPr>
      <w:r>
        <w:rPr>
          <w:rFonts w:ascii="Arial" w:hAnsi="Arial"/>
          <w:b/>
          <w:color w:val="202C3B"/>
          <w:sz w:val="18"/>
        </w:rPr>
        <w:t xml:space="preserve">16.2  Entire Agreement.  </w:t>
      </w:r>
      <w:r>
        <w:rPr>
          <w:rFonts w:ascii="Arial" w:hAnsi="Arial"/>
          <w:color w:val="202C3B"/>
          <w:sz w:val="18"/>
        </w:rPr>
        <w:t>The listed Contract Documents are the complete agreement concerning the Work. An oral statement, course of dealing, meeting note, or unsigned proposal does not amend them. A Modification must be signed by both parties except for an interim authorization expressly allowed by Article 6.</w:t>
      </w:r>
    </w:p>
    <w:p>
      <w:pPr>
        <w:spacing w:before="160" w:after="160"/>
      </w:pPr>
      <w:r>
        <w:rPr>
          <w:rFonts w:ascii="Arial" w:hAnsi="Arial"/>
          <w:b/>
          <w:color w:val="202C3B"/>
          <w:sz w:val="18"/>
        </w:rPr>
        <w:t>The parties execute this Design-Build GMP Agreement as of the effective date stated above.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120" w:type="dxa"/>
              <w:start w:w="120" w:type="dxa"/>
              <w:bottom w:w="120" w:type="dxa"/>
              <w:end w:w="120" w:type="dxa"/>
            </w:tcMar>
            <w:shd w:fill="F2F3F5" w:val="clear"/>
          </w:tcPr>
          <w:p>
            <w:pPr>
              <w:spacing w:after="0"/>
            </w:pPr>
            <w:r>
              <w:rPr>
                <w:rFonts w:ascii="Arial" w:hAnsi="Arial"/>
                <w:b/>
                <w:color w:val="202C3B"/>
                <w:sz w:val="17"/>
              </w:rPr>
              <w:t>OWNER</w:t>
            </w:r>
          </w:p>
        </w:tc>
        <w:tc>
          <w:tcPr>
            <w:tcW w:type="dxa" w:w="4680"/>
            <w:tcMar>
              <w:top w:w="120" w:type="dxa"/>
              <w:start w:w="120" w:type="dxa"/>
              <w:bottom w:w="120" w:type="dxa"/>
              <w:end w:w="120" w:type="dxa"/>
            </w:tcMar>
            <w:shd w:fill="F2F3F5" w:val="clear"/>
          </w:tcPr>
          <w:p>
            <w:pPr>
              <w:spacing w:after="0"/>
            </w:pPr>
            <w:r>
              <w:rPr>
                <w:rFonts w:ascii="Arial" w:hAnsi="Arial"/>
                <w:b/>
                <w:color w:val="202C3B"/>
                <w:sz w:val="17"/>
              </w:rPr>
              <w:t>MEFFORD CONTRACTING, LLC</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Signature: 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Signature: __________________________________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Printed name: 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Printed name: 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Title: ______________________________________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Title: ______________________________________</w:t>
            </w:r>
          </w:p>
        </w:tc>
      </w:tr>
      <w:tr>
        <w:trPr>
          <w:cantSplit/>
        </w:trPr>
        <w:tc>
          <w:tcPr>
            <w:tcW w:type="dxa" w:w="4680"/>
            <w:tcMar>
              <w:top w:w="120" w:type="dxa"/>
              <w:start w:w="120" w:type="dxa"/>
              <w:bottom w:w="120" w:type="dxa"/>
              <w:end w:w="120" w:type="dxa"/>
            </w:tcMar>
            <w:shd w:fill="FFFFFF" w:val="clear"/>
          </w:tcPr>
          <w:p>
            <w:pPr>
              <w:spacing w:after="0"/>
            </w:pPr>
            <w:r>
              <w:rPr>
                <w:rFonts w:ascii="Arial" w:hAnsi="Arial"/>
                <w:b w:val="0"/>
                <w:color w:val="202C3B"/>
                <w:sz w:val="17"/>
              </w:rPr>
              <w:t>Date: ______________________________________</w:t>
            </w:r>
          </w:p>
        </w:tc>
        <w:tc>
          <w:tcPr>
            <w:tcW w:type="dxa" w:w="4680"/>
            <w:tcMar>
              <w:top w:w="120" w:type="dxa"/>
              <w:start w:w="120" w:type="dxa"/>
              <w:bottom w:w="120" w:type="dxa"/>
              <w:end w:w="120" w:type="dxa"/>
            </w:tcMar>
            <w:shd w:fill="FFFFFF" w:val="clear"/>
          </w:tcPr>
          <w:p>
            <w:pPr>
              <w:spacing w:after="0"/>
            </w:pPr>
            <w:r>
              <w:rPr>
                <w:rFonts w:ascii="Arial" w:hAnsi="Arial"/>
                <w:b w:val="0"/>
                <w:color w:val="202C3B"/>
                <w:sz w:val="17"/>
              </w:rPr>
              <w:t>Date: ______________________________________</w:t>
            </w:r>
          </w:p>
        </w:tc>
      </w:tr>
    </w:tbl>
    <w:sectPr w:rsidR="00FC693F" w:rsidRPr="0006063C" w:rsidSect="00034616">
      <w:headerReference w:type="default" r:id="rId9"/>
      <w:footerReference w:type="default" r:id="rId10"/>
      <w:footerReference w:type="first" r:id="rId11"/>
      <w:headerReference w:type="first" r:id="rId13"/>
      <w:headerReference w:type="even" r:id="rId14"/>
      <w:footerReference w:type="even" r:id="rId15"/>
      <w:pgSz w:w="12240" w:h="15840"/>
      <w:pgMar w:top="1440" w:right="1440" w:bottom="1181" w:left="1440" w:header="547"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 xml:space="preserve">MC-OWN-DBGMP-001 REV. 3.0   |   Page </w:t>
    </w:r>
    <w:r>
      <w:rPr>
        <w:rFonts w:ascii="Arial" w:hAnsi="Arial"/>
        <w:b w:val="0"/>
        <w:i w:val="0"/>
        <w:color w:val="58585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Rule="auto" w:line="240"/>
      <w:jc w:val="center"/>
    </w:pPr>
    <w:r>
      <w:rPr>
        <w:rFonts w:ascii="Arial" w:hAnsi="Arial"/>
        <w:b w:val="0"/>
        <w:i w:val="0"/>
        <w:color w:val="58585A"/>
        <w:sz w:val="16"/>
      </w:rPr>
      <w:t>MC-OWN-DBGMP-001 REV. 3.0</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before="0" w:after="0" w:lineRule="auto" w:line="240"/>
      <w:jc w:val="left"/>
    </w:pPr>
    <w:r>
      <w:rPr>
        <w:rFonts w:ascii="Arial" w:hAnsi="Arial"/>
        <w:b/>
        <w:i w:val="0"/>
        <w:color w:val="922E26"/>
        <w:sz w:val="16"/>
      </w:rPr>
      <w:t>MEFFORD CONTRACTING, LLC</w:t>
    </w:r>
    <w:r>
      <w:rPr>
        <w:rFonts w:ascii="Arial" w:hAnsi="Arial"/>
        <w:b/>
        <w:i w:val="0"/>
        <w:color w:val="58585A"/>
        <w:sz w:val="16"/>
      </w:rPr>
      <w:t xml:space="preserve">   |   DESIGN-BUILD GMP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47" w:lineRule="auto" w:before="0"/>
    </w:pPr>
    <w:rPr>
      <w:rFonts w:ascii="Arial" w:hAnsi="Arial"/>
      <w:color w:val="202C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Arial" w:hAnsi="Arial"/>
      <w:b/>
      <w:bCs/>
      <w:color w:val="922E26"/>
      <w:sz w:val="29"/>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rial" w:hAnsi="Arial"/>
      <w:b/>
      <w:bCs/>
      <w:color w:val="202C3B"/>
      <w:sz w:val="20"/>
      <w:szCs w:val="26"/>
    </w:rPr>
  </w:style>
  <w:style w:type="paragraph" w:styleId="Heading3">
    <w:name w:val="heading 3"/>
    <w:basedOn w:val="Normal"/>
    <w:next w:val="Normal"/>
    <w:link w:val="Heading3Char"/>
    <w:uiPriority w:val="9"/>
    <w:unhideWhenUsed/>
    <w:qFormat/>
    <w:rsid w:val="00FC693F"/>
    <w:pPr>
      <w:keepNext/>
      <w:keepLines/>
      <w:pageBreakBefore w:val="0"/>
      <w:spacing w:before="60" w:after="20"/>
      <w:outlineLvl w:val="2"/>
    </w:pPr>
    <w:rPr>
      <w:rFonts w:asciiTheme="majorHAnsi" w:eastAsiaTheme="majorEastAsia" w:hAnsiTheme="majorHAnsi" w:cstheme="majorBidi" w:ascii="Arial" w:hAnsi="Arial"/>
      <w:b/>
      <w:bCs/>
      <w:color w:val="202C3B"/>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280"/>
    </w:pPr>
    <w:rPr>
      <w:rFonts w:asciiTheme="majorHAnsi" w:eastAsiaTheme="majorEastAsia" w:hAnsiTheme="majorHAnsi" w:cstheme="majorBidi" w:ascii="Arial" w:hAnsi="Arial"/>
      <w:b/>
      <w:i/>
      <w:iCs/>
      <w:color w:val="58585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contextualSpacing/>
    </w:pPr>
    <w:rPr>
      <w:rFonts w:ascii="Arial" w:hAnsi="Arial"/>
      <w:color w:val="202C3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2"/>
      <w:contextualSpacing/>
    </w:pPr>
    <w:rPr>
      <w:rFonts w:ascii="Arial" w:hAnsi="Arial"/>
      <w:color w:val="202C3B"/>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Mefford Design-Build GMP Agreement</dc:title>
  <dc:subject>Phase One design authorization and design-build GMP contract framework</dc:subject>
  <dc:creator>Mefford Contracting, LLC</dc:creator>
  <cp:keywords>Design-Build, Guaranteed Maximum Price, GMP, owner contract</cp:keywords>
  <dc:description>generated by python-docx</dc:description>
  <cp:lastModifiedBy/>
  <cp:revision>1</cp:revision>
  <dcterms:created xsi:type="dcterms:W3CDTF">2013-12-23T23:15:00Z</dcterms:created>
  <dcterms:modified xsi:type="dcterms:W3CDTF">2013-12-23T23:15:00Z</dcterms:modified>
  <cp:category/>
</cp:coreProperties>
</file>