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202C3B"/>
          <w:sz w:val="44"/>
        </w:rPr>
        <w:t>EXHIBIT A</w:t>
      </w:r>
    </w:p>
    <w:p>
      <w:pPr>
        <w:spacing w:after="160"/>
        <w:jc w:val="center"/>
      </w:pPr>
      <w:r>
        <w:rPr>
          <w:rFonts w:ascii="Arial" w:hAnsi="Arial"/>
          <w:color w:val="58585A"/>
          <w:sz w:val="22"/>
        </w:rPr>
        <w:t>Design-Build GMP Amendment</w:t>
      </w:r>
    </w:p>
    <w:p>
      <w:pPr>
        <w:spacing w:after="240"/>
        <w:jc w:val="center"/>
      </w:pPr>
      <w:r>
        <w:rPr>
          <w:rFonts w:ascii="Arial" w:hAnsi="Arial"/>
          <w:b/>
          <w:color w:val="922E26"/>
          <w:sz w:val="16"/>
        </w:rPr>
        <w:t>MC-OWN-DBGMP-001-A  |  REV. 3.0</w:t>
      </w:r>
    </w:p>
    <w:tbl>
      <w:tblPr>
        <w:tblStyle w:val="TableGrid"/>
        <w:tblW w:type="dxa" w:w="9360"/>
        <w:jc w:val="left"/>
        <w:tblLayout w:type="fixed"/>
        <w:tblLook w:firstColumn="1" w:firstRow="1" w:lastColumn="0" w:lastRow="0" w:noHBand="0" w:noVBand="1" w:val="04A0"/>
        <w:tblInd w:w="90" w:type="dxa"/>
      </w:tblPr>
      <w:tblGrid>
        <w:gridCol w:w="2808"/>
        <w:gridCol w:w="6552"/>
      </w:tblGrid>
      <w:tr>
        <w:trPr>
          <w:cantSplit/>
          <w:tblHeader/>
        </w:trPr>
        <w:tc>
          <w:tcPr>
            <w:tcW w:type="dxa" w:w="280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AMENDMENT INFORMATION</w:t>
            </w:r>
          </w:p>
        </w:tc>
        <w:tc>
          <w:tcPr>
            <w:tcW w:type="dxa" w:w="655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VALUE</w:t>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Original Agreement date</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Exhibit A effective date</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legal name</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address</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name</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address</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Mefford project number</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Mefford Contracting, LLC</w:t>
            </w:r>
          </w:p>
        </w:tc>
      </w:tr>
    </w:tbl>
    <w:p>
      <w:pPr>
        <w:spacing w:after="40"/>
      </w:pPr>
    </w:p>
    <w:tbl>
      <w:tblPr>
        <w:tblStyle w:val="TableGrid"/>
        <w:tblW w:type="dxa" w:w="9360"/>
        <w:jc w:val="left"/>
        <w:tblLayout w:type="fixed"/>
        <w:tblLook w:firstColumn="1" w:firstRow="1" w:lastColumn="0" w:lastRow="0" w:noHBand="0" w:noVBand="1" w:val="04A0"/>
        <w:tblInd w:w="90" w:type="dxa"/>
      </w:tblPr>
      <w:tblGrid>
        <w:gridCol w:w="2808"/>
        <w:gridCol w:w="6552"/>
      </w:tblGrid>
      <w:tr>
        <w:trPr>
          <w:cantSplit/>
          <w:tblHeader/>
        </w:trPr>
        <w:tc>
          <w:tcPr>
            <w:tcW w:type="dxa" w:w="280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OWNER'S FINAL AUTHORIZATION</w:t>
            </w:r>
          </w:p>
        </w:tc>
        <w:tc>
          <w:tcPr>
            <w:tcW w:type="dxa" w:w="655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APPROVED AMOUNT / DATE</w:t>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Guaranteed Maximum Price</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Notice to Proceed / start</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Substantial Completion</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Final Completion</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GMP pricing date</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GMP expiration date</w:t>
            </w:r>
          </w:p>
        </w:tc>
        <w:tc>
          <w:tcPr>
            <w:tcW w:type="dxa" w:w="65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r>
        <w:br w:type="page"/>
      </w:r>
    </w:p>
    <w:p>
      <w:pPr>
        <w:pStyle w:val="Heading1"/>
      </w:pPr>
      <w:r>
        <w:t>TABLE OF ARTICLES</w:t>
      </w:r>
    </w:p>
    <w:tbl>
      <w:tblPr>
        <w:tblStyle w:val="TableGrid"/>
        <w:tblW w:type="dxa" w:w="9360"/>
        <w:jc w:val="left"/>
        <w:tblLayout w:type="fixed"/>
        <w:tblLook w:firstColumn="1" w:firstRow="1" w:lastColumn="0" w:lastRow="0" w:noHBand="0" w:noVBand="1" w:val="04A0"/>
        <w:tblInd w:w="90" w:type="dxa"/>
      </w:tblPr>
      <w:tblGrid>
        <w:gridCol w:w="792"/>
        <w:gridCol w:w="8568"/>
      </w:tblGrid>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A.1</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GUARANTEED MAXIMUM PRICE AND PAYMENT</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A.2</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CONTRACT TIME AND MILESTONES</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A.3</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DOCUMENTS AND ASSUMPTIONS FORMING THE GMP</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A.4</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PROJECT PERSONNEL AND LOWER-TIER AGREEMENTS</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A.5</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COST OF THE WORK AND RECONCILIATION</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A.6</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FINAL COMMERCIAL ELECTIONS</w:t>
            </w:r>
          </w:p>
        </w:tc>
      </w:tr>
    </w:tbl>
    <w:p>
      <w:pPr>
        <w:spacing w:after="40"/>
      </w:pPr>
    </w:p>
    <w:p>
      <w:pPr>
        <w:spacing w:before="40" w:after="120"/>
      </w:pPr>
      <w:r>
        <w:rPr>
          <w:rFonts w:ascii="Arial" w:hAnsi="Arial"/>
          <w:b/>
          <w:color w:val="202C3B"/>
          <w:sz w:val="19"/>
        </w:rPr>
        <w:t>This Exhibit A is the later commercial approval contemplated by the Agreement. By signing it, Owner accepts the GMP, Contract Time, itemized cost basis, assumptions, clarifications, exclusions, allowances, contingencies, and payment terms and authorizes Design-Builder to proceed after the stated commencement conditions are met.</w:t>
      </w:r>
    </w:p>
    <w:p>
      <w:pPr>
        <w:pStyle w:val="Heading1"/>
      </w:pPr>
      <w:r>
        <w:t>ARTICLE A.1  |  GUARANTEED MAXIMUM PRICE AND PAYMENT</w:t>
      </w:r>
    </w:p>
    <w:p>
      <w:pPr>
        <w:keepLines w:val="0"/>
        <w:widowControl/>
      </w:pPr>
      <w:r>
        <w:rPr>
          <w:rFonts w:ascii="Arial" w:hAnsi="Arial"/>
          <w:b/>
          <w:color w:val="202C3B"/>
          <w:sz w:val="18"/>
        </w:rPr>
        <w:t xml:space="preserve">A.1.1  Contract Basis.  </w:t>
      </w:r>
      <w:r>
        <w:rPr>
          <w:rFonts w:ascii="Arial" w:hAnsi="Arial"/>
          <w:color w:val="202C3B"/>
          <w:sz w:val="18"/>
        </w:rPr>
        <w:t>Owner shall pay the adjusted Contract Sum for the Work authorized by this Amendment. The Contract Sum is the Cost of the Work plus Design-Builder's Fee, subject to the Guaranteed Maximum Price and authorized adjustments. The GMP is not the Owner's planning budget. Phase One compensation is treated only as specifically stated below.</w:t>
      </w:r>
    </w:p>
    <w:p>
      <w:pPr>
        <w:keepLines w:val="0"/>
        <w:widowControl/>
      </w:pPr>
      <w:r>
        <w:rPr>
          <w:rFonts w:ascii="Arial" w:hAnsi="Arial"/>
          <w:b/>
          <w:color w:val="202C3B"/>
          <w:sz w:val="18"/>
        </w:rPr>
        <w:t xml:space="preserve">A.1.2  Design-Builder's Fee.  </w:t>
      </w:r>
      <w:r>
        <w:rPr>
          <w:rFonts w:ascii="Arial" w:hAnsi="Arial"/>
          <w:color w:val="202C3B"/>
          <w:sz w:val="18"/>
        </w:rPr>
        <w:t>The Fee compensates Design-Builder for corporate overhead, profit, and services identified as Fee items. Its form and adjustment method are stated below. A fixed Fee is earned in proportion to Project progress and commitments unless another basis is stated. No reduction applies to Fee already earned or to Fee preserved under the Agreement's deleted-scope and termination provisions.</w:t>
      </w:r>
    </w:p>
    <w:tbl>
      <w:tblPr>
        <w:tblStyle w:val="TableGrid"/>
        <w:tblW w:type="dxa" w:w="9360"/>
        <w:jc w:val="left"/>
        <w:tblLayout w:type="fixed"/>
        <w:tblLook w:firstColumn="1" w:firstRow="1" w:lastColumn="0" w:lastRow="0" w:noHBand="0" w:noVBand="1" w:val="04A0"/>
        <w:tblInd w:w="90" w:type="dxa"/>
      </w:tblPr>
      <w:tblGrid>
        <w:gridCol w:w="3168"/>
        <w:gridCol w:w="6192"/>
      </w:tblGrid>
      <w:tr>
        <w:trPr>
          <w:cantSplit/>
          <w:tblHeader/>
        </w:trPr>
        <w:tc>
          <w:tcPr>
            <w:tcW w:type="dxa" w:w="316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DESIGN-BUILDER COMPENSATION</w:t>
            </w:r>
          </w:p>
        </w:tc>
        <w:tc>
          <w:tcPr>
            <w:tcW w:type="dxa" w:w="619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AMOUNT / FORMULA</w:t>
            </w:r>
          </w:p>
        </w:tc>
      </w:tr>
      <w:tr>
        <w:trPr>
          <w:cantSplit/>
        </w:trPr>
        <w:tc>
          <w:tcPr>
            <w:tcW w:type="dxa" w:w="316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Fee basis</w:t>
            </w:r>
          </w:p>
        </w:tc>
        <w:tc>
          <w:tcPr>
            <w:tcW w:type="dxa" w:w="61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Design-Builder's Fee</w:t>
            </w:r>
          </w:p>
        </w:tc>
        <w:tc>
          <w:tcPr>
            <w:tcW w:type="dxa" w:w="61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16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 / preconstruction included</w:t>
            </w:r>
          </w:p>
        </w:tc>
        <w:tc>
          <w:tcPr>
            <w:tcW w:type="dxa" w:w="61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16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General conditions included</w:t>
            </w:r>
          </w:p>
        </w:tc>
        <w:tc>
          <w:tcPr>
            <w:tcW w:type="dxa" w:w="61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16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Fee on additive Changes</w:t>
            </w:r>
          </w:p>
        </w:tc>
        <w:tc>
          <w:tcPr>
            <w:tcW w:type="dxa" w:w="61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Credit treatment for deletions</w:t>
            </w:r>
          </w:p>
        </w:tc>
        <w:tc>
          <w:tcPr>
            <w:tcW w:type="dxa" w:w="61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Agreement Section 6.5 applies</w:t>
            </w:r>
          </w:p>
        </w:tc>
      </w:tr>
    </w:tbl>
    <w:p>
      <w:pPr>
        <w:spacing w:after="40"/>
      </w:pPr>
    </w:p>
    <w:p>
      <w:pPr>
        <w:keepLines w:val="0"/>
        <w:widowControl/>
      </w:pPr>
      <w:r>
        <w:rPr>
          <w:rFonts w:ascii="Arial" w:hAnsi="Arial"/>
          <w:b/>
          <w:color w:val="202C3B"/>
          <w:sz w:val="18"/>
        </w:rPr>
        <w:t xml:space="preserve">A.1.3  Guaranteed Maximum Price.  </w:t>
      </w:r>
      <w:r>
        <w:rPr>
          <w:rFonts w:ascii="Arial" w:hAnsi="Arial"/>
          <w:color w:val="202C3B"/>
          <w:sz w:val="18"/>
        </w:rPr>
        <w:t>The sum of reimbursable Cost of the Work and Design-Builder's Fee will not exceed the adjusted GMP, subject to Changes and other relief allowed by the Contract. Cost above the adjusted GMP is Design-Builder's responsibility only to the extent the cost is otherwise reimbursable and is not caused by a Change, Owner action, concealed condition, market event allocated to Owner, or another Contract adjustment.</w:t>
      </w:r>
    </w:p>
    <w:tbl>
      <w:tblPr>
        <w:tblStyle w:val="TableGrid"/>
        <w:tblW w:type="dxa" w:w="9360"/>
        <w:jc w:val="left"/>
        <w:tblLayout w:type="fixed"/>
        <w:tblLook w:firstColumn="1" w:firstRow="1" w:lastColumn="0" w:lastRow="0" w:noHBand="0" w:noVBand="1" w:val="04A0"/>
        <w:tblInd w:w="90" w:type="dxa"/>
      </w:tblPr>
      <w:tblGrid>
        <w:gridCol w:w="3384"/>
        <w:gridCol w:w="5976"/>
      </w:tblGrid>
      <w:tr>
        <w:trPr>
          <w:cantSplit/>
          <w:tblHeader/>
        </w:trPr>
        <w:tc>
          <w:tcPr>
            <w:tcW w:type="dxa" w:w="338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GMP SUMMARY</w:t>
            </w:r>
          </w:p>
        </w:tc>
        <w:tc>
          <w:tcPr>
            <w:tcW w:type="dxa" w:w="597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APPROVED AMOUNT / BASIS</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Guaranteed Maximum Price - figures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Guaranteed Maximum Price - words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Cost of the Work subtotal</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Design-Builder's Fee</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 and preconstruction</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General conditions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Insurance and bonds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Allowances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 contingency</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contingency, if any</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Phase One amount included / credited</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bl>
    <w:p>
      <w:pPr>
        <w:spacing w:after="40"/>
      </w:pPr>
    </w:p>
    <w:p>
      <w:pPr>
        <w:keepLines w:val="0"/>
        <w:widowControl/>
      </w:pPr>
      <w:r>
        <w:rPr>
          <w:rFonts w:ascii="Arial" w:hAnsi="Arial"/>
          <w:b/>
          <w:color w:val="202C3B"/>
          <w:sz w:val="18"/>
        </w:rPr>
        <w:t xml:space="preserve">A.1.4  Itemized GMP.  </w:t>
      </w:r>
      <w:r>
        <w:rPr>
          <w:rFonts w:ascii="Arial" w:hAnsi="Arial"/>
          <w:color w:val="202C3B"/>
          <w:sz w:val="18"/>
        </w:rPr>
        <w:t>The following schedule is the approved itemized statement of the GMP. Allowances, contingencies, design, general conditions, insurance, bonds, and Fee are shown separately so the pricing structure is clear. The schedule is a billing and control allocation, not a set of independent lump-sum trade contracts.</w:t>
      </w:r>
    </w:p>
    <w:tbl>
      <w:tblPr>
        <w:tblStyle w:val="TableGrid"/>
        <w:tblW w:type="dxa" w:w="9360"/>
        <w:jc w:val="left"/>
        <w:tblLayout w:type="fixed"/>
        <w:tblLook w:firstColumn="1" w:firstRow="1" w:lastColumn="0" w:lastRow="0" w:noHBand="0" w:noVBand="1" w:val="04A0"/>
        <w:tblInd w:w="90" w:type="dxa"/>
      </w:tblPr>
      <w:tblGrid>
        <w:gridCol w:w="1008"/>
        <w:gridCol w:w="4104"/>
        <w:gridCol w:w="1656"/>
        <w:gridCol w:w="2592"/>
      </w:tblGrid>
      <w:tr>
        <w:trPr>
          <w:cantSplit/>
          <w:tblHeader/>
        </w:trPr>
        <w:tc>
          <w:tcPr>
            <w:tcW w:type="dxa" w:w="100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COST CODE</w:t>
            </w:r>
          </w:p>
        </w:tc>
        <w:tc>
          <w:tcPr>
            <w:tcW w:type="dxa" w:w="410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TRADE / CATEGORY</w:t>
            </w:r>
          </w:p>
        </w:tc>
        <w:tc>
          <w:tcPr>
            <w:tcW w:type="dxa" w:w="165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AMOUNT</w:t>
            </w:r>
          </w:p>
        </w:tc>
        <w:tc>
          <w:tcPr>
            <w:tcW w:type="dxa" w:w="259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ALLOWANCE / CONTINGENCY / NOTES</w:t>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Design and preconstruction</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Permits and agency fees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01</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General requirements / conditions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Insurance and bonds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Design-Builder's Fee</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Design-Builder contingency</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Owner contingency</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Allowances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02</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Existing conditions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03</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Concrete</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04</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Masonry</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05</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Metals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06</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Wood, plastics, and composites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07</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Thermal and moisture protection</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08</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Openings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09</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Finishes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10</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Specialties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11</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Equipment</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12</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Furnishings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13</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Special construction</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14</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Conveying equipment</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21</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Fire suppression</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22</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Plumbing</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23</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HVAC</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25</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Integrated automation</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26</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Electrical</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27</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Communications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28</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Electronic safety and security</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31</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Earthwork</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32</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Exterior improvements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33</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Utilities</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Other</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Other</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0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TOTAL</w:t>
            </w:r>
          </w:p>
        </w:tc>
        <w:tc>
          <w:tcPr>
            <w:tcW w:type="dxa" w:w="410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GUARANTEED MAXIMUM PRICE</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A.1.5  Alternates.  </w:t>
      </w:r>
      <w:r>
        <w:rPr>
          <w:rFonts w:ascii="Arial" w:hAnsi="Arial"/>
          <w:color w:val="202C3B"/>
          <w:sz w:val="18"/>
        </w:rPr>
        <w:t>Only alternates marked accepted are included in the GMP. An unaccepted alternate may be added only by Change Order before its stated expiration, subject to then-current price, schedule, and availability.</w:t>
      </w:r>
    </w:p>
    <w:tbl>
      <w:tblPr>
        <w:tblStyle w:val="TableGrid"/>
        <w:tblW w:type="dxa" w:w="9360"/>
        <w:jc w:val="left"/>
        <w:tblLayout w:type="fixed"/>
        <w:tblLook w:firstColumn="1" w:firstRow="1" w:lastColumn="0" w:lastRow="0" w:noHBand="0" w:noVBand="1" w:val="04A0"/>
        <w:tblInd w:w="90" w:type="dxa"/>
      </w:tblPr>
      <w:tblGrid>
        <w:gridCol w:w="792"/>
        <w:gridCol w:w="4968"/>
        <w:gridCol w:w="1656"/>
        <w:gridCol w:w="1944"/>
      </w:tblGrid>
      <w:tr>
        <w:trPr>
          <w:cantSplit/>
          <w:tblHeader/>
        </w:trPr>
        <w:tc>
          <w:tcPr>
            <w:tcW w:type="dxa" w:w="79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NO.</w:t>
            </w:r>
          </w:p>
        </w:tc>
        <w:tc>
          <w:tcPr>
            <w:tcW w:type="dxa" w:w="496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ALTERNATE DESCRIPTION</w:t>
            </w:r>
          </w:p>
        </w:tc>
        <w:tc>
          <w:tcPr>
            <w:tcW w:type="dxa" w:w="165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ADD / DEDUCT</w:t>
            </w:r>
          </w:p>
        </w:tc>
        <w:tc>
          <w:tcPr>
            <w:tcW w:type="dxa" w:w="194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STATUS / DEADLINE</w:t>
            </w:r>
          </w:p>
        </w:tc>
      </w:tr>
      <w:tr>
        <w:trPr>
          <w:cantSplit/>
        </w:trPr>
        <w:tc>
          <w:tcPr>
            <w:tcW w:type="dxa" w:w="7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9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7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9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7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9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7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9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7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9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7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9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A.1.6  Unit Prices.  </w:t>
      </w:r>
      <w:r>
        <w:rPr>
          <w:rFonts w:ascii="Arial" w:hAnsi="Arial"/>
          <w:color w:val="202C3B"/>
          <w:sz w:val="18"/>
        </w:rPr>
        <w:t>A unit price applies only within its stated scope, quantity range, measurement method, and time. Final quantity shall be supported by agreed field measurement or other reasonable records. Mobilization, minimum quantities, waste, and incidental work are included only if the unit-price note says so.</w:t>
      </w:r>
    </w:p>
    <w:tbl>
      <w:tblPr>
        <w:tblStyle w:val="TableGrid"/>
        <w:tblW w:type="dxa" w:w="9360"/>
        <w:jc w:val="left"/>
        <w:tblLayout w:type="fixed"/>
        <w:tblLook w:firstColumn="1" w:firstRow="1" w:lastColumn="0" w:lastRow="0" w:noHBand="0" w:noVBand="1" w:val="04A0"/>
        <w:tblInd w:w="90" w:type="dxa"/>
      </w:tblPr>
      <w:tblGrid>
        <w:gridCol w:w="3384"/>
        <w:gridCol w:w="1080"/>
        <w:gridCol w:w="1728"/>
        <w:gridCol w:w="3168"/>
      </w:tblGrid>
      <w:tr>
        <w:trPr>
          <w:cantSplit/>
          <w:tblHeader/>
        </w:trPr>
        <w:tc>
          <w:tcPr>
            <w:tcW w:type="dxa" w:w="338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ITEM</w:t>
            </w:r>
          </w:p>
        </w:tc>
        <w:tc>
          <w:tcPr>
            <w:tcW w:type="dxa" w:w="108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UNIT</w:t>
            </w:r>
          </w:p>
        </w:tc>
        <w:tc>
          <w:tcPr>
            <w:tcW w:type="dxa" w:w="172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UNIT PRICE</w:t>
            </w:r>
          </w:p>
        </w:tc>
        <w:tc>
          <w:tcPr>
            <w:tcW w:type="dxa" w:w="316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QUANTITY / MEASUREMENT LIMIT</w:t>
            </w:r>
          </w:p>
        </w:tc>
      </w:tr>
      <w:tr>
        <w:trPr>
          <w:cantSplit/>
        </w:trPr>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A.1.7  Budget and GMP Are Different.  </w:t>
      </w:r>
      <w:r>
        <w:rPr>
          <w:rFonts w:ascii="Arial" w:hAnsi="Arial"/>
          <w:color w:val="202C3B"/>
          <w:sz w:val="18"/>
        </w:rPr>
        <w:t>Owner's approved Project budget is an Owner planning target and may include land, financing, Owner vendors, furniture, equipment, reserves, taxes, and other costs outside this Contract. The GMP is the maximum Contract Sum for the Work defined by the listed pricing documents, subject to authorized adjustment. Neither amount changes the other, and no budget line not included in the GMP becomes Design-Builder's responsibility.</w:t>
      </w:r>
    </w:p>
    <w:p>
      <w:pPr>
        <w:keepLines w:val="0"/>
        <w:widowControl/>
      </w:pPr>
      <w:r>
        <w:rPr>
          <w:rFonts w:ascii="Arial" w:hAnsi="Arial"/>
          <w:b/>
          <w:color w:val="202C3B"/>
          <w:sz w:val="18"/>
        </w:rPr>
        <w:t xml:space="preserve">A.1.8  Payment Applications.  </w:t>
      </w:r>
      <w:r>
        <w:rPr>
          <w:rFonts w:ascii="Arial" w:hAnsi="Arial"/>
          <w:color w:val="202C3B"/>
          <w:sz w:val="18"/>
        </w:rPr>
        <w:t>Design-Builder shall submit applications monthly using the cutoff below. Each application shall show the current schedule of values, percentage complete, eligible stored materials, Cost of the Work, Fee, approved Changes, allowance and contingency activity, retainage, prior payments, and amount due, together with the Project-specific support identified in A.5.10.</w:t>
      </w:r>
    </w:p>
    <w:p>
      <w:pPr>
        <w:keepLines w:val="0"/>
        <w:widowControl/>
      </w:pPr>
      <w:r>
        <w:rPr>
          <w:rFonts w:ascii="Arial" w:hAnsi="Arial"/>
          <w:b/>
          <w:color w:val="202C3B"/>
          <w:sz w:val="18"/>
        </w:rPr>
        <w:t xml:space="preserve">A.1.9  Strict Payment Timing.  </w:t>
      </w:r>
      <w:r>
        <w:rPr>
          <w:rFonts w:ascii="Arial" w:hAnsi="Arial"/>
          <w:color w:val="202C3B"/>
          <w:sz w:val="18"/>
        </w:rPr>
        <w:t>Within seven calendar days after receipt of a complete application, Owner shall approve it or provide a written notice identifying each disputed line, amount, and basis. Owner shall pay all undisputed portions within fifteen calendar days after receipt. A dispute, lender review, or certification issue affecting one item does not delay other amounts. Overdue undisputed amounts bear interest at twelve percent per year or the highest lawful rate, whichever is lower. Design-Builder will give any additional notice required by mandatory law.</w:t>
      </w:r>
    </w:p>
    <w:tbl>
      <w:tblPr>
        <w:tblStyle w:val="TableGrid"/>
        <w:tblW w:type="dxa" w:w="9360"/>
        <w:jc w:val="left"/>
        <w:tblLayout w:type="fixed"/>
        <w:tblLook w:firstColumn="1" w:firstRow="1" w:lastColumn="0" w:lastRow="0" w:noHBand="0" w:noVBand="1" w:val="04A0"/>
        <w:tblInd w:w="90" w:type="dxa"/>
      </w:tblPr>
      <w:tblGrid>
        <w:gridCol w:w="3240"/>
        <w:gridCol w:w="6120"/>
      </w:tblGrid>
      <w:tr>
        <w:trPr>
          <w:cantSplit/>
          <w:tblHeader/>
        </w:trPr>
        <w:tc>
          <w:tcPr>
            <w:tcW w:type="dxa" w:w="324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PAYMENT CONTROL</w:t>
            </w:r>
          </w:p>
        </w:tc>
        <w:tc>
          <w:tcPr>
            <w:tcW w:type="dxa" w:w="61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TERM</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Application cutoff</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25th day of each month</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review / dispute notice</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7 calendar days after receipt</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Payment due</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15 calendar days after receipt</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Late-payment interest</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12% per year or highest lawful rate, whichever is lower</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Nonpayment suspension notice</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7 calendar days</w:t>
            </w:r>
          </w:p>
        </w:tc>
      </w:tr>
    </w:tbl>
    <w:p>
      <w:pPr>
        <w:spacing w:after="40"/>
      </w:pPr>
    </w:p>
    <w:p>
      <w:pPr>
        <w:keepLines w:val="0"/>
        <w:widowControl/>
      </w:pPr>
      <w:r>
        <w:rPr>
          <w:rFonts w:ascii="Arial" w:hAnsi="Arial"/>
          <w:b/>
          <w:color w:val="202C3B"/>
          <w:sz w:val="18"/>
        </w:rPr>
        <w:t xml:space="preserve">A.1.10  Undisputed Amounts and Suspension.  </w:t>
      </w:r>
      <w:r>
        <w:rPr>
          <w:rFonts w:ascii="Arial" w:hAnsi="Arial"/>
          <w:color w:val="202C3B"/>
          <w:sz w:val="18"/>
        </w:rPr>
        <w:t>Owner shall release the portion of every invoice that is not specifically disputed. If an undisputed amount remains unpaid seven calendar days after written notice, Design-Builder may suspend all or affected Work without breach until overdue amounts, interest, and reasonable shutdown, storage, lower-tier, demobilization, remobilization, and restart costs are paid. GMP and Contract Time will be adjusted for the suspension and its consequences.</w:t>
      </w:r>
    </w:p>
    <w:p>
      <w:pPr>
        <w:keepLines w:val="0"/>
        <w:widowControl/>
      </w:pPr>
      <w:r>
        <w:rPr>
          <w:rFonts w:ascii="Arial" w:hAnsi="Arial"/>
          <w:b/>
          <w:color w:val="202C3B"/>
          <w:sz w:val="18"/>
        </w:rPr>
        <w:t xml:space="preserve">A.1.11  Retainage.  </w:t>
      </w:r>
      <w:r>
        <w:rPr>
          <w:rFonts w:ascii="Arial" w:hAnsi="Arial"/>
          <w:color w:val="202C3B"/>
          <w:sz w:val="18"/>
        </w:rPr>
        <w:t>Retainage applies only as stated below and is subject to mandatory law. No retainage applies to design services, insurance, bonds, permits, stored materials already paid to a supplier, or Design-Builder's Fee unless specifically stated. Retainage shall be reduced and released in accordance with applicable law and the completion status of the affected Work.</w:t>
      </w:r>
    </w:p>
    <w:tbl>
      <w:tblPr>
        <w:tblStyle w:val="TableGrid"/>
        <w:tblW w:type="dxa" w:w="9360"/>
        <w:jc w:val="left"/>
        <w:tblLayout w:type="fixed"/>
        <w:tblLook w:firstColumn="1" w:firstRow="1" w:lastColumn="0" w:lastRow="0" w:noHBand="0" w:noVBand="1" w:val="04A0"/>
        <w:tblInd w:w="90" w:type="dxa"/>
      </w:tblPr>
      <w:tblGrid>
        <w:gridCol w:w="3240"/>
        <w:gridCol w:w="6120"/>
      </w:tblGrid>
      <w:tr>
        <w:trPr>
          <w:cantSplit/>
          <w:tblHeader/>
        </w:trPr>
        <w:tc>
          <w:tcPr>
            <w:tcW w:type="dxa" w:w="324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RETAINAGE</w:t>
            </w:r>
          </w:p>
        </w:tc>
        <w:tc>
          <w:tcPr>
            <w:tcW w:type="dxa" w:w="61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TERM</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Construction retainage</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Design-services retainage</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None unless stated here: ________________________</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Reduction after 50% completion</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Early release / separate trade completion</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Final release conditions</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A.1.12  Stored Materials and Advance Procurement.  </w:t>
      </w:r>
      <w:r>
        <w:rPr>
          <w:rFonts w:ascii="Arial" w:hAnsi="Arial"/>
          <w:color w:val="202C3B"/>
          <w:sz w:val="18"/>
        </w:rPr>
        <w:t>Eligible stored materials may be billed when identified to the Project, protected, insured, and supported by reasonable evidence of purchase and title. Off-site storage requires reasonable advance approval of location and controls. Advance deposits and procurement commitments necessary to preserve price, schedule, fabrication slot, or availability are payable when documented and included in the GMP basis.</w:t>
      </w:r>
    </w:p>
    <w:p>
      <w:pPr>
        <w:keepLines w:val="0"/>
        <w:widowControl/>
      </w:pPr>
      <w:r>
        <w:rPr>
          <w:rFonts w:ascii="Arial" w:hAnsi="Arial"/>
          <w:b/>
          <w:color w:val="202C3B"/>
          <w:sz w:val="18"/>
        </w:rPr>
        <w:t xml:space="preserve">A.1.13  Final Payment.  </w:t>
      </w:r>
      <w:r>
        <w:rPr>
          <w:rFonts w:ascii="Arial" w:hAnsi="Arial"/>
          <w:color w:val="202C3B"/>
          <w:sz w:val="18"/>
        </w:rPr>
        <w:t>Final payment is due within fifteen calendar days after Final Completion, final application, final accounting, required closeout documents, lien documentation, and consent of surety if applicable. Owner may withhold only a reasonable amount tied to a specifically identified incomplete or disputed item and shall pay the balance. An audit does not postpone undisputed final payment.</w:t>
      </w:r>
    </w:p>
    <w:p>
      <w:pPr>
        <w:keepLines w:val="0"/>
        <w:widowControl/>
      </w:pPr>
      <w:r>
        <w:rPr>
          <w:rFonts w:ascii="Arial" w:hAnsi="Arial"/>
          <w:b/>
          <w:color w:val="202C3B"/>
          <w:sz w:val="18"/>
        </w:rPr>
        <w:t xml:space="preserve">A.1.14  Pay-if-Paid Owner Acknowledgment.  </w:t>
      </w:r>
      <w:r>
        <w:rPr>
          <w:rFonts w:ascii="Arial" w:hAnsi="Arial"/>
          <w:color w:val="202C3B"/>
          <w:sz w:val="18"/>
        </w:rPr>
        <w:t>Owner acknowledges that Design-Builder's lower-tier agreements may make Design-Builder's actual receipt of corresponding Owner payment an express condition precedent to lower-tier payment for the same Work. To the fullest extent allowed by law, Design-Builder has no duty to finance Owner's Project or advance unpaid Owner funds, except to the extent Design-Builder caused nonpayment through its material breach concerning that Work. Owner nonpayment may lead to lower-tier nonpayment, notices, liens, loss of labor or material availability, and suspension. Except to the extent caused by Design-Builder, Owner bears the resulting cost and time, including escalation, storage, shutdown, extended general conditions, demobilization, remobilization, supported lower-tier claims, lien-resolution expense, and applicable Fee. Design-Builder shall pay corresponding undisputed lower-tier amounts after receipt as required by the applicable agreement and mandatory law.</w:t>
      </w:r>
    </w:p>
    <w:p>
      <w:pPr>
        <w:keepLines w:val="0"/>
        <w:widowControl/>
      </w:pPr>
      <w:r>
        <w:rPr>
          <w:rFonts w:ascii="Arial" w:hAnsi="Arial"/>
          <w:b/>
          <w:color w:val="202C3B"/>
          <w:sz w:val="18"/>
        </w:rPr>
        <w:t xml:space="preserve">A.1.15  Allowances.  </w:t>
      </w:r>
      <w:r>
        <w:rPr>
          <w:rFonts w:ascii="Arial" w:hAnsi="Arial"/>
          <w:color w:val="202C3B"/>
          <w:sz w:val="18"/>
        </w:rPr>
        <w:t>Each allowance is limited to the purpose and included cost components shown in A.3.3. Owner shall make selections by the required decision date. When actual committed cost is known, Design-Builder shall present the comparison and the parties shall reconcile the allowance by Change Order. A schedule-of-values transfer or invoice does not replace the Change Order.</w:t>
      </w:r>
    </w:p>
    <w:p>
      <w:pPr>
        <w:keepLines w:val="0"/>
        <w:widowControl/>
      </w:pPr>
      <w:r>
        <w:rPr>
          <w:rFonts w:ascii="Arial" w:hAnsi="Arial"/>
          <w:b/>
          <w:color w:val="202C3B"/>
          <w:sz w:val="18"/>
        </w:rPr>
        <w:t xml:space="preserve">A.1.16  Contingencies.  </w:t>
      </w:r>
      <w:r>
        <w:rPr>
          <w:rFonts w:ascii="Arial" w:hAnsi="Arial"/>
          <w:color w:val="202C3B"/>
          <w:sz w:val="18"/>
        </w:rPr>
        <w:t>Design-Builder contingency is available for reimbursable costs within the original scope that were not specifically identified but are reasonably necessary to complete that scope, including estimating development, coordination gaps, minor buyout variance, and ordinary construction uncertainty. It is not a guaranteed credit and is not available for Owner-directed additions. Owner contingency, if listed, is controlled by Owner and is not part of the GMP unless the summary expressly includes it. Contingency use will be reported in the monthly cost report.</w:t>
      </w:r>
    </w:p>
    <w:p>
      <w:pPr>
        <w:keepLines w:val="0"/>
        <w:widowControl/>
      </w:pPr>
      <w:r>
        <w:rPr>
          <w:rFonts w:ascii="Arial" w:hAnsi="Arial"/>
          <w:b/>
          <w:color w:val="202C3B"/>
          <w:sz w:val="18"/>
        </w:rPr>
        <w:t xml:space="preserve">A.1.17  Savings and Final GMP Reconciliation.  </w:t>
      </w:r>
      <w:r>
        <w:rPr>
          <w:rFonts w:ascii="Arial" w:hAnsi="Arial"/>
          <w:color w:val="202C3B"/>
          <w:sz w:val="18"/>
        </w:rPr>
        <w:t>At final reconciliation, Savings means the positive difference between the adjusted GMP and the final reimbursable Cost of the Work plus earned Fee and other Contract amounts, after all Changes, known Claims, closeout cost, allowances, contingencies, and commitments are resolved. Savings are allocated below. Savings do not include deleted-scope amounts that preserve Fee, design cost, general conditions, overhead, or other costs under the Agreement.</w:t>
      </w:r>
    </w:p>
    <w:tbl>
      <w:tblPr>
        <w:tblStyle w:val="TableGrid"/>
        <w:tblW w:type="dxa" w:w="9360"/>
        <w:jc w:val="left"/>
        <w:tblLayout w:type="fixed"/>
        <w:tblLook w:firstColumn="1" w:firstRow="1" w:lastColumn="0" w:lastRow="0" w:noHBand="0" w:noVBand="1" w:val="04A0"/>
        <w:tblInd w:w="90" w:type="dxa"/>
      </w:tblPr>
      <w:tblGrid>
        <w:gridCol w:w="3240"/>
        <w:gridCol w:w="6120"/>
      </w:tblGrid>
      <w:tr>
        <w:trPr>
          <w:cantSplit/>
          <w:tblHeader/>
        </w:trPr>
        <w:tc>
          <w:tcPr>
            <w:tcW w:type="dxa" w:w="324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FINAL RECONCILIATION</w:t>
            </w:r>
          </w:p>
        </w:tc>
        <w:tc>
          <w:tcPr>
            <w:tcW w:type="dxa" w:w="61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TERM</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Final GMP Savings allocation</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Savings calculation date</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Unresolved cost / Claim reserve</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pStyle w:val="Heading1"/>
      </w:pPr>
      <w:r>
        <w:t>ARTICLE A.2  |  CONTRACT TIME AND MILESTONES</w:t>
      </w:r>
    </w:p>
    <w:p>
      <w:pPr>
        <w:keepLines w:val="0"/>
        <w:widowControl/>
      </w:pPr>
      <w:r>
        <w:rPr>
          <w:rFonts w:ascii="Arial" w:hAnsi="Arial"/>
          <w:b/>
          <w:color w:val="202C3B"/>
          <w:sz w:val="18"/>
        </w:rPr>
        <w:t xml:space="preserve">A.2.1  Contract Time.  </w:t>
      </w:r>
      <w:r>
        <w:rPr>
          <w:rFonts w:ascii="Arial" w:hAnsi="Arial"/>
          <w:color w:val="202C3B"/>
          <w:sz w:val="18"/>
        </w:rPr>
        <w:t>Contract Time begins when the commencement conditions below are satisfied and includes authorized adjustments. Design-Builder shall achieve the stated completion dates, subject to the Agreement's delay and Change provisions.</w:t>
      </w:r>
    </w:p>
    <w:tbl>
      <w:tblPr>
        <w:tblStyle w:val="TableGrid"/>
        <w:tblW w:type="dxa" w:w="9360"/>
        <w:jc w:val="left"/>
        <w:tblLayout w:type="fixed"/>
        <w:tblLook w:firstColumn="1" w:firstRow="1" w:lastColumn="0" w:lastRow="0" w:noHBand="0" w:noVBand="1" w:val="04A0"/>
        <w:tblInd w:w="90" w:type="dxa"/>
      </w:tblPr>
      <w:tblGrid>
        <w:gridCol w:w="3240"/>
        <w:gridCol w:w="6120"/>
      </w:tblGrid>
      <w:tr>
        <w:trPr>
          <w:cantSplit/>
          <w:tblHeader/>
        </w:trPr>
        <w:tc>
          <w:tcPr>
            <w:tcW w:type="dxa" w:w="324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CONTRACT TIME</w:t>
            </w:r>
          </w:p>
        </w:tc>
        <w:tc>
          <w:tcPr>
            <w:tcW w:type="dxa" w:w="61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APPROVED DATE / PERIOD</w:t>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Conditions before commencement</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Notice to Proceed</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Construction commencement</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Substantial Completion</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Final Completion</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occupancy / phased turnover</w:t>
            </w:r>
          </w:p>
        </w:tc>
        <w:tc>
          <w:tcPr>
            <w:tcW w:type="dxa" w:w="61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A.2.2  Milestones.  </w:t>
      </w:r>
      <w:r>
        <w:rPr>
          <w:rFonts w:ascii="Arial" w:hAnsi="Arial"/>
          <w:color w:val="202C3B"/>
          <w:sz w:val="18"/>
        </w:rPr>
        <w:t>A milestone is contractually binding only if the table identifies it as binding and states the consequence. Other dates are planning targets updated through the Project schedule.</w:t>
      </w:r>
    </w:p>
    <w:tbl>
      <w:tblPr>
        <w:tblStyle w:val="TableGrid"/>
        <w:tblW w:type="dxa" w:w="9360"/>
        <w:jc w:val="left"/>
        <w:tblLayout w:type="fixed"/>
        <w:tblLook w:firstColumn="1" w:firstRow="1" w:lastColumn="0" w:lastRow="0" w:noHBand="0" w:noVBand="1" w:val="04A0"/>
        <w:tblInd w:w="90" w:type="dxa"/>
      </w:tblPr>
      <w:tblGrid>
        <w:gridCol w:w="3240"/>
        <w:gridCol w:w="1944"/>
        <w:gridCol w:w="1512"/>
        <w:gridCol w:w="2664"/>
      </w:tblGrid>
      <w:tr>
        <w:trPr>
          <w:cantSplit/>
          <w:tblHeader/>
        </w:trPr>
        <w:tc>
          <w:tcPr>
            <w:tcW w:type="dxa" w:w="324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MILESTONE</w:t>
            </w:r>
          </w:p>
        </w:tc>
        <w:tc>
          <w:tcPr>
            <w:tcW w:type="dxa" w:w="194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RESPONSIBLE PARTY</w:t>
            </w:r>
          </w:p>
        </w:tc>
        <w:tc>
          <w:tcPr>
            <w:tcW w:type="dxa" w:w="151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DATE</w:t>
            </w:r>
          </w:p>
        </w:tc>
        <w:tc>
          <w:tcPr>
            <w:tcW w:type="dxa" w:w="266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BINDING CONSEQUENCE / NOTES</w:t>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9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A.2.3  Delay and Extensions.  </w:t>
      </w:r>
      <w:r>
        <w:rPr>
          <w:rFonts w:ascii="Arial" w:hAnsi="Arial"/>
          <w:color w:val="202C3B"/>
          <w:sz w:val="18"/>
        </w:rPr>
        <w:t>Notice, excusable delay, compensable delay, concurrent delay, weather, acceleration, and schedule recovery are governed by Article 8 of the Agreement. The GMP includes only the schedule conditions stated in the pricing basis. Owner-directed compression or delay is a Change.</w:t>
      </w:r>
    </w:p>
    <w:p>
      <w:pPr>
        <w:keepLines w:val="0"/>
        <w:widowControl/>
      </w:pPr>
      <w:r>
        <w:rPr>
          <w:rFonts w:ascii="Arial" w:hAnsi="Arial"/>
          <w:b/>
          <w:color w:val="202C3B"/>
          <w:sz w:val="18"/>
        </w:rPr>
        <w:t xml:space="preserve">A.2.4  No Liquidated Damages.  </w:t>
      </w:r>
      <w:r>
        <w:rPr>
          <w:rFonts w:ascii="Arial" w:hAnsi="Arial"/>
          <w:color w:val="202C3B"/>
          <w:sz w:val="18"/>
        </w:rPr>
        <w:t>No liquidated damages apply to this Design-Build GMP Project. A completion date or milestone does not create liquidated damages by implication. No performance bonus applies unless a separate signed Change Order states the amount, objective criteria, and funding.</w:t>
      </w:r>
    </w:p>
    <w:tbl>
      <w:tblPr>
        <w:tblStyle w:val="TableGrid"/>
        <w:tblW w:type="dxa" w:w="9360"/>
        <w:jc w:val="left"/>
        <w:tblLayout w:type="fixed"/>
        <w:tblLook w:firstColumn="1" w:firstRow="1" w:lastColumn="0" w:lastRow="0" w:noHBand="0" w:noVBand="1" w:val="04A0"/>
        <w:tblInd w:w="90" w:type="dxa"/>
      </w:tblPr>
      <w:tblGrid>
        <w:gridCol w:w="3672"/>
        <w:gridCol w:w="5688"/>
      </w:tblGrid>
      <w:tr>
        <w:trPr>
          <w:cantSplit/>
          <w:tblHeader/>
        </w:trPr>
        <w:tc>
          <w:tcPr>
            <w:tcW w:type="dxa" w:w="367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PROJECT-SPECIFIC SCHEDULE TERM</w:t>
            </w:r>
          </w:p>
        </w:tc>
        <w:tc>
          <w:tcPr>
            <w:tcW w:type="dxa" w:w="568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TERM</w:t>
            </w:r>
          </w:p>
        </w:tc>
      </w:tr>
      <w:tr>
        <w:trPr>
          <w:cantSplit/>
        </w:trPr>
        <w:tc>
          <w:tcPr>
            <w:tcW w:type="dxa" w:w="367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Delay notice variation</w:t>
            </w:r>
          </w:p>
        </w:tc>
        <w:tc>
          <w:tcPr>
            <w:tcW w:type="dxa" w:w="56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7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decision deadlines</w:t>
            </w:r>
          </w:p>
        </w:tc>
        <w:tc>
          <w:tcPr>
            <w:tcW w:type="dxa" w:w="56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7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Working-hour / access restriction</w:t>
            </w:r>
          </w:p>
        </w:tc>
        <w:tc>
          <w:tcPr>
            <w:tcW w:type="dxa" w:w="56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7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Approved acceleration or bonus</w:t>
            </w:r>
          </w:p>
        </w:tc>
        <w:tc>
          <w:tcPr>
            <w:tcW w:type="dxa" w:w="56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7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56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pStyle w:val="Heading1"/>
      </w:pPr>
      <w:r>
        <w:t>ARTICLE A.3  |  DOCUMENTS AND ASSUMPTIONS FORMING THE GMP</w:t>
      </w:r>
    </w:p>
    <w:p>
      <w:pPr>
        <w:keepLines w:val="0"/>
        <w:widowControl/>
      </w:pPr>
      <w:r>
        <w:rPr>
          <w:rFonts w:ascii="Arial" w:hAnsi="Arial"/>
          <w:b/>
          <w:color w:val="202C3B"/>
          <w:sz w:val="18"/>
        </w:rPr>
        <w:t xml:space="preserve">A.3.1  Controlling Pricing Basis.  </w:t>
      </w:r>
      <w:r>
        <w:rPr>
          <w:rFonts w:ascii="Arial" w:hAnsi="Arial"/>
          <w:color w:val="202C3B"/>
          <w:sz w:val="18"/>
        </w:rPr>
        <w:t>The GMP and Contract Time are based only on the documents and information specifically listed below, together with the assumptions, clarifications, and exclusions in this Article. An unlisted drawing, email, proposal, meeting note, or later document does not expand the GMP scope unless added by Change Order.</w:t>
      </w:r>
    </w:p>
    <w:tbl>
      <w:tblPr>
        <w:tblStyle w:val="TableGrid"/>
        <w:tblW w:type="dxa" w:w="9360"/>
        <w:jc w:val="left"/>
        <w:tblLayout w:type="fixed"/>
        <w:tblLook w:firstColumn="1" w:firstRow="1" w:lastColumn="0" w:lastRow="0" w:noHBand="0" w:noVBand="1" w:val="04A0"/>
        <w:tblInd w:w="90" w:type="dxa"/>
      </w:tblPr>
      <w:tblGrid>
        <w:gridCol w:w="2088"/>
        <w:gridCol w:w="3816"/>
        <w:gridCol w:w="1728"/>
        <w:gridCol w:w="1728"/>
      </w:tblGrid>
      <w:tr>
        <w:trPr>
          <w:cantSplit/>
          <w:tblHeader/>
        </w:trPr>
        <w:tc>
          <w:tcPr>
            <w:tcW w:type="dxa" w:w="208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DOCUMENT TYPE</w:t>
            </w:r>
          </w:p>
        </w:tc>
        <w:tc>
          <w:tcPr>
            <w:tcW w:type="dxa" w:w="381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TITLE / IDENTIFIER</w:t>
            </w:r>
          </w:p>
        </w:tc>
        <w:tc>
          <w:tcPr>
            <w:tcW w:type="dxa" w:w="172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DATE / REVISION</w:t>
            </w:r>
          </w:p>
        </w:tc>
        <w:tc>
          <w:tcPr>
            <w:tcW w:type="dxa" w:w="172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PAGES / NOTES</w:t>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GMP proposal / estimate</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Scope narrative</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Drawing index / drawing set</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Specification index / set</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schedule</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Criteria / program</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Survey</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Geotechnical report</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Environmental / hazardous-material report</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Alternates / unit prices</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Allowance schedule</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08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381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7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A.3.2  Assumptions and Clarifications.  </w:t>
      </w:r>
      <w:r>
        <w:rPr>
          <w:rFonts w:ascii="Arial" w:hAnsi="Arial"/>
          <w:color w:val="202C3B"/>
          <w:sz w:val="18"/>
        </w:rPr>
        <w:t>The following Project-specific assumptions and clarifications define the scope and pricing basis. If additional space is needed, a dated attachment must be listed in A.3.1.</w:t>
      </w:r>
    </w:p>
    <w:tbl>
      <w:tblPr>
        <w:tblStyle w:val="TableGrid"/>
        <w:tblW w:type="dxa" w:w="9360"/>
        <w:jc w:val="left"/>
        <w:tblLayout w:type="fixed"/>
        <w:tblLook w:firstColumn="1" w:firstRow="1" w:lastColumn="0" w:lastRow="0" w:noHBand="0" w:noVBand="1" w:val="04A0"/>
        <w:tblInd w:w="90" w:type="dxa"/>
      </w:tblPr>
      <w:tblGrid>
        <w:gridCol w:w="3384"/>
        <w:gridCol w:w="5976"/>
      </w:tblGrid>
      <w:tr>
        <w:trPr>
          <w:cantSplit/>
          <w:tblHeader/>
        </w:trPr>
        <w:tc>
          <w:tcPr>
            <w:tcW w:type="dxa" w:w="338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ASSUMPTIONS / CLARIFICATIONS</w:t>
            </w:r>
          </w:p>
        </w:tc>
        <w:tc>
          <w:tcPr>
            <w:tcW w:type="dxa" w:w="597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PRICING BASIS</w:t>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Site access and logistics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Working hours and occupied operations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Temporary facilities and utilities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Existing-condition assumptions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 completion and delegated design</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Permit and authority assumptions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Labor availability / wage assumptions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Material pricing / tariffs / escalation</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Owner-furnished items</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Testing / commissioning / training</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Closeout and warranty</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38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597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A.3.3  Allowances and Contingencies.  </w:t>
      </w:r>
      <w:r>
        <w:rPr>
          <w:rFonts w:ascii="Arial" w:hAnsi="Arial"/>
          <w:color w:val="202C3B"/>
          <w:sz w:val="18"/>
        </w:rPr>
        <w:t>The table states the purpose, amount, included components, and decision or use rule for each allowance and contingency. Blank or undescribed amounts are not included.</w:t>
      </w:r>
    </w:p>
    <w:tbl>
      <w:tblPr>
        <w:tblStyle w:val="TableGrid"/>
        <w:tblW w:type="dxa" w:w="9360"/>
        <w:jc w:val="left"/>
        <w:tblLayout w:type="fixed"/>
        <w:tblLook w:firstColumn="1" w:firstRow="1" w:lastColumn="0" w:lastRow="0" w:noHBand="0" w:noVBand="1" w:val="04A0"/>
        <w:tblInd w:w="90" w:type="dxa"/>
      </w:tblPr>
      <w:tblGrid>
        <w:gridCol w:w="2232"/>
        <w:gridCol w:w="1512"/>
        <w:gridCol w:w="3096"/>
        <w:gridCol w:w="2520"/>
      </w:tblGrid>
      <w:tr>
        <w:trPr>
          <w:cantSplit/>
          <w:tblHeader/>
        </w:trPr>
        <w:tc>
          <w:tcPr>
            <w:tcW w:type="dxa" w:w="223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ITEM</w:t>
            </w:r>
          </w:p>
        </w:tc>
        <w:tc>
          <w:tcPr>
            <w:tcW w:type="dxa" w:w="151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AMOUNT</w:t>
            </w:r>
          </w:p>
        </w:tc>
        <w:tc>
          <w:tcPr>
            <w:tcW w:type="dxa" w:w="309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INCLUDED COST COMPONENTS</w:t>
            </w:r>
          </w:p>
        </w:tc>
        <w:tc>
          <w:tcPr>
            <w:tcW w:type="dxa" w:w="25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DECISION / USE RULE</w:t>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23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51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09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A.3.4  Exclusions and Deferred Scope.  </w:t>
      </w:r>
      <w:r>
        <w:rPr>
          <w:rFonts w:ascii="Arial" w:hAnsi="Arial"/>
          <w:color w:val="202C3B"/>
          <w:sz w:val="18"/>
        </w:rPr>
        <w:t>The following work, services, risks, and Owner costs are excluded or deferred. An exclusion remains excluded even if related to an included system unless a listed pricing document expressly states otherwise.</w:t>
      </w:r>
    </w:p>
    <w:tbl>
      <w:tblPr>
        <w:tblStyle w:val="TableGrid"/>
        <w:tblW w:type="dxa" w:w="9360"/>
        <w:jc w:val="left"/>
        <w:tblLayout w:type="fixed"/>
        <w:tblLook w:firstColumn="1" w:firstRow="1" w:lastColumn="0" w:lastRow="0" w:noHBand="0" w:noVBand="1" w:val="04A0"/>
        <w:tblInd w:w="90" w:type="dxa"/>
      </w:tblPr>
      <w:tblGrid>
        <w:gridCol w:w="5472"/>
        <w:gridCol w:w="3888"/>
      </w:tblGrid>
      <w:tr>
        <w:trPr>
          <w:cantSplit/>
          <w:tblHeader/>
        </w:trPr>
        <w:tc>
          <w:tcPr>
            <w:tcW w:type="dxa" w:w="547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EXCLUSION / DEFERRED SCOPE</w:t>
            </w:r>
          </w:p>
        </w:tc>
        <w:tc>
          <w:tcPr>
            <w:tcW w:type="dxa" w:w="388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OWNER / FUTURE ACTION / NOTES</w:t>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47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A.3.5  Sustainability and Incentives.  </w:t>
      </w:r>
      <w:r>
        <w:rPr>
          <w:rFonts w:ascii="Arial" w:hAnsi="Arial"/>
          <w:color w:val="202C3B"/>
          <w:sz w:val="18"/>
        </w:rPr>
        <w:t>Only the objectives, certifications, measures, documentation, and incentive responsibilities stated below are included. No certification or incentive result is guaranteed because approval depends on third parties, Owner operations, and matters outside Design-Builder's control.</w:t>
      </w:r>
    </w:p>
    <w:tbl>
      <w:tblPr>
        <w:tblStyle w:val="TableGrid"/>
        <w:tblW w:type="dxa" w:w="9360"/>
        <w:jc w:val="left"/>
        <w:tblLayout w:type="fixed"/>
        <w:tblLook w:firstColumn="1" w:firstRow="1" w:lastColumn="0" w:lastRow="0" w:noHBand="0" w:noVBand="1" w:val="04A0"/>
        <w:tblInd w:w="90" w:type="dxa"/>
      </w:tblPr>
      <w:tblGrid>
        <w:gridCol w:w="4680"/>
        <w:gridCol w:w="4680"/>
      </w:tblGrid>
      <w:tr>
        <w:trPr>
          <w:cantSplit/>
          <w:tblHeader/>
        </w:trPr>
        <w:tc>
          <w:tcPr>
            <w:tcW w:type="dxa" w:w="468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SUSTAINABILITY / INCENTIVE ITEM</w:t>
            </w:r>
          </w:p>
        </w:tc>
        <w:tc>
          <w:tcPr>
            <w:tcW w:type="dxa" w:w="468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RESPONSIBLE PARTY / INCLUDED REQUIREMENT</w:t>
            </w:r>
          </w:p>
        </w:tc>
      </w:tr>
      <w:tr>
        <w:trPr>
          <w:cantSplit/>
        </w:trPr>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6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A.3.6  Owner Criteria Deviations.  </w:t>
      </w:r>
      <w:r>
        <w:rPr>
          <w:rFonts w:ascii="Arial" w:hAnsi="Arial"/>
          <w:color w:val="202C3B"/>
          <w:sz w:val="18"/>
        </w:rPr>
        <w:t>The following accepted deviations from the initial Owner Criteria are incorporated. A deviation not listed here is not accepted merely because it appears in a preliminary drawing or estimate.</w:t>
      </w:r>
    </w:p>
    <w:tbl>
      <w:tblPr>
        <w:tblStyle w:val="TableGrid"/>
        <w:tblW w:type="dxa" w:w="9360"/>
        <w:jc w:val="left"/>
        <w:tblLayout w:type="fixed"/>
        <w:tblLook w:firstColumn="1" w:firstRow="1" w:lastColumn="0" w:lastRow="0" w:noHBand="0" w:noVBand="1" w:val="04A0"/>
        <w:tblInd w:w="90" w:type="dxa"/>
      </w:tblPr>
      <w:tblGrid>
        <w:gridCol w:w="5040"/>
        <w:gridCol w:w="4320"/>
      </w:tblGrid>
      <w:tr>
        <w:trPr>
          <w:cantSplit/>
          <w:tblHeader/>
        </w:trPr>
        <w:tc>
          <w:tcPr>
            <w:tcW w:type="dxa" w:w="504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ACCEPTED DEVIATION</w:t>
            </w:r>
          </w:p>
        </w:tc>
        <w:tc>
          <w:tcPr>
            <w:tcW w:type="dxa" w:w="43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PRICE / TIME / DESIGN EFFECT</w:t>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A.3.7  Additional Owner Reviews and Submittals.  </w:t>
      </w:r>
      <w:r>
        <w:rPr>
          <w:rFonts w:ascii="Arial" w:hAnsi="Arial"/>
          <w:color w:val="202C3B"/>
          <w:sz w:val="18"/>
        </w:rPr>
        <w:t>The GMP includes only the Owner review steps and additional submissions listed below. Added design alternatives, renderings, mockups, authority resubmissions caused by changed criteria, or repeat reviews are Changes.</w:t>
      </w:r>
    </w:p>
    <w:tbl>
      <w:tblPr>
        <w:tblStyle w:val="TableGrid"/>
        <w:tblW w:type="dxa" w:w="9360"/>
        <w:jc w:val="left"/>
        <w:tblLayout w:type="fixed"/>
        <w:tblLook w:firstColumn="1" w:firstRow="1" w:lastColumn="0" w:lastRow="0" w:noHBand="0" w:noVBand="1" w:val="04A0"/>
        <w:tblInd w:w="90" w:type="dxa"/>
      </w:tblPr>
      <w:tblGrid>
        <w:gridCol w:w="5040"/>
        <w:gridCol w:w="4320"/>
      </w:tblGrid>
      <w:tr>
        <w:trPr>
          <w:cantSplit/>
          <w:tblHeader/>
        </w:trPr>
        <w:tc>
          <w:tcPr>
            <w:tcW w:type="dxa" w:w="504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ADDITIONAL REVIEW / SUBMITTAL</w:t>
            </w:r>
          </w:p>
        </w:tc>
        <w:tc>
          <w:tcPr>
            <w:tcW w:type="dxa" w:w="43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DUE DATE / RESPONSIBLE PARTY</w:t>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504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43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pStyle w:val="Heading1"/>
      </w:pPr>
      <w:r>
        <w:t>ARTICLE A.4  |  PROJECT PERSONNEL AND LOWER-TIER AGREEMENTS</w:t>
      </w:r>
    </w:p>
    <w:p>
      <w:pPr>
        <w:keepLines w:val="0"/>
        <w:widowControl/>
      </w:pPr>
      <w:r>
        <w:rPr>
          <w:rFonts w:ascii="Arial" w:hAnsi="Arial"/>
          <w:b/>
          <w:color w:val="202C3B"/>
          <w:sz w:val="18"/>
        </w:rPr>
        <w:t xml:space="preserve">A.4.1  Key Personnel.  </w:t>
      </w:r>
      <w:r>
        <w:rPr>
          <w:rFonts w:ascii="Arial" w:hAnsi="Arial"/>
          <w:color w:val="202C3B"/>
          <w:sz w:val="18"/>
        </w:rPr>
        <w:t>The following personnel are assigned in the stated roles, subject to availability and the replacement provisions of the Agreement.</w:t>
      </w:r>
    </w:p>
    <w:tbl>
      <w:tblPr>
        <w:tblStyle w:val="TableGrid"/>
        <w:tblW w:type="dxa" w:w="9360"/>
        <w:jc w:val="left"/>
        <w:tblLayout w:type="fixed"/>
        <w:tblLook w:firstColumn="1" w:firstRow="1" w:lastColumn="0" w:lastRow="0" w:noHBand="0" w:noVBand="1" w:val="04A0"/>
        <w:tblInd w:w="90" w:type="dxa"/>
      </w:tblPr>
      <w:tblGrid>
        <w:gridCol w:w="2880"/>
        <w:gridCol w:w="3888"/>
        <w:gridCol w:w="2592"/>
      </w:tblGrid>
      <w:tr>
        <w:trPr>
          <w:cantSplit/>
          <w:tblHeader/>
        </w:trPr>
        <w:tc>
          <w:tcPr>
            <w:tcW w:type="dxa" w:w="288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ROLE</w:t>
            </w:r>
          </w:p>
        </w:tc>
        <w:tc>
          <w:tcPr>
            <w:tcW w:type="dxa" w:w="388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NAME / FIRM</w:t>
            </w:r>
          </w:p>
        </w:tc>
        <w:tc>
          <w:tcPr>
            <w:tcW w:type="dxa" w:w="259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CONTACT</w:t>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Executive / principal</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executive</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manager</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Superintendent</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Preconstruction / estimator</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 manager</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Safety lead</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88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388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A.4.2  Design Professionals.  </w:t>
      </w:r>
      <w:r>
        <w:rPr>
          <w:rFonts w:ascii="Arial" w:hAnsi="Arial"/>
          <w:color w:val="202C3B"/>
          <w:sz w:val="18"/>
        </w:rPr>
        <w:t>The following Design Professionals and consultants are included in the GMP. Their services are subject to the professional standard of care and the listed scope.</w:t>
      </w:r>
    </w:p>
    <w:tbl>
      <w:tblPr>
        <w:tblStyle w:val="TableGrid"/>
        <w:tblW w:type="dxa" w:w="9360"/>
        <w:jc w:val="left"/>
        <w:tblLayout w:type="fixed"/>
        <w:tblLook w:firstColumn="1" w:firstRow="1" w:lastColumn="0" w:lastRow="0" w:noHBand="0" w:noVBand="1" w:val="04A0"/>
        <w:tblInd w:w="90" w:type="dxa"/>
      </w:tblPr>
      <w:tblGrid>
        <w:gridCol w:w="2304"/>
        <w:gridCol w:w="3456"/>
        <w:gridCol w:w="3600"/>
      </w:tblGrid>
      <w:tr>
        <w:trPr>
          <w:cantSplit/>
          <w:tblHeader/>
        </w:trPr>
        <w:tc>
          <w:tcPr>
            <w:tcW w:type="dxa" w:w="230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DISCIPLINE</w:t>
            </w:r>
          </w:p>
        </w:tc>
        <w:tc>
          <w:tcPr>
            <w:tcW w:type="dxa" w:w="345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FIRM / LEAD</w:t>
            </w:r>
          </w:p>
        </w:tc>
        <w:tc>
          <w:tcPr>
            <w:tcW w:type="dxa" w:w="360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SCOPE / NOTES</w:t>
            </w:r>
          </w:p>
        </w:tc>
      </w:tr>
      <w:tr>
        <w:trPr>
          <w:cantSplit/>
        </w:trPr>
        <w:tc>
          <w:tcPr>
            <w:tcW w:type="dxa" w:w="230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Architecture</w:t>
            </w:r>
          </w:p>
        </w:tc>
        <w:tc>
          <w:tcPr>
            <w:tcW w:type="dxa" w:w="34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30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Civil</w:t>
            </w:r>
          </w:p>
        </w:tc>
        <w:tc>
          <w:tcPr>
            <w:tcW w:type="dxa" w:w="34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30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Structural</w:t>
            </w:r>
          </w:p>
        </w:tc>
        <w:tc>
          <w:tcPr>
            <w:tcW w:type="dxa" w:w="34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30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Mechanical</w:t>
            </w:r>
          </w:p>
        </w:tc>
        <w:tc>
          <w:tcPr>
            <w:tcW w:type="dxa" w:w="34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30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Electrical</w:t>
            </w:r>
          </w:p>
        </w:tc>
        <w:tc>
          <w:tcPr>
            <w:tcW w:type="dxa" w:w="34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30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Plumbing / fire protection</w:t>
            </w:r>
          </w:p>
        </w:tc>
        <w:tc>
          <w:tcPr>
            <w:tcW w:type="dxa" w:w="34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304"/>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34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A.4.3  Major Contractors and Suppliers.  </w:t>
      </w:r>
      <w:r>
        <w:rPr>
          <w:rFonts w:ascii="Arial" w:hAnsi="Arial"/>
          <w:color w:val="202C3B"/>
          <w:sz w:val="18"/>
        </w:rPr>
        <w:t>The following major lower-tier participants have been selected or are carried in the GMP. A listed budget or bid is not a direct Owner contract. Substitution and Owner objection are governed by the Agreement.</w:t>
      </w:r>
    </w:p>
    <w:tbl>
      <w:tblPr>
        <w:tblStyle w:val="TableGrid"/>
        <w:tblW w:type="dxa" w:w="9360"/>
        <w:jc w:val="left"/>
        <w:tblLayout w:type="fixed"/>
        <w:tblLook w:firstColumn="1" w:firstRow="1" w:lastColumn="0" w:lastRow="0" w:noHBand="0" w:noVBand="1" w:val="04A0"/>
        <w:tblInd w:w="90" w:type="dxa"/>
      </w:tblPr>
      <w:tblGrid>
        <w:gridCol w:w="3168"/>
        <w:gridCol w:w="3600"/>
        <w:gridCol w:w="2592"/>
      </w:tblGrid>
      <w:tr>
        <w:trPr>
          <w:cantSplit/>
          <w:tblHeader/>
        </w:trPr>
        <w:tc>
          <w:tcPr>
            <w:tcW w:type="dxa" w:w="316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TRADE / PACKAGE</w:t>
            </w:r>
          </w:p>
        </w:tc>
        <w:tc>
          <w:tcPr>
            <w:tcW w:type="dxa" w:w="360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CONTRACTOR / SUPPLIER</w:t>
            </w:r>
          </w:p>
        </w:tc>
        <w:tc>
          <w:tcPr>
            <w:tcW w:type="dxa" w:w="259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STATUS / NOTES</w:t>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16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A.4.4  Lower-Tier Contracting.  </w:t>
      </w:r>
      <w:r>
        <w:rPr>
          <w:rFonts w:ascii="Arial" w:hAnsi="Arial"/>
          <w:color w:val="202C3B"/>
          <w:sz w:val="18"/>
        </w:rPr>
        <w:t>Design-Builder may award trade work through competitive proposals, negotiated procurement, self-performance, or another commercially reasonable method consistent with the GMP basis. Design-Builder is not required to accept the lowest bid and may consider scope completeness, schedule, safety, quality, financial capacity, and past performance. Owner approval is required only for a participant specifically reserved for Owner approval in this Exhibit.</w:t>
      </w:r>
    </w:p>
    <w:p>
      <w:pPr>
        <w:keepLines w:val="0"/>
        <w:widowControl/>
      </w:pPr>
      <w:r>
        <w:rPr>
          <w:rFonts w:ascii="Arial" w:hAnsi="Arial"/>
          <w:b/>
          <w:color w:val="202C3B"/>
          <w:sz w:val="18"/>
        </w:rPr>
        <w:t xml:space="preserve">A.4.5  Payment Terms in Lower-Tier Agreements.  </w:t>
      </w:r>
      <w:r>
        <w:rPr>
          <w:rFonts w:ascii="Arial" w:hAnsi="Arial"/>
          <w:color w:val="202C3B"/>
          <w:sz w:val="18"/>
        </w:rPr>
        <w:t>Design-Builder may include payment timing, retainage, pay-if-paid conditions precedent, lien documentation, audit, insurance, warranty, and dispute terms reasonably consistent with this Contract and applicable law. No lower-tier agreement expands Owner's obligations beyond the Contract.</w:t>
      </w:r>
    </w:p>
    <w:p>
      <w:pPr>
        <w:pStyle w:val="Heading1"/>
      </w:pPr>
      <w:r>
        <w:t>ARTICLE A.5  |  COST OF THE WORK AND RECONCILIATION</w:t>
      </w:r>
    </w:p>
    <w:p>
      <w:pPr>
        <w:keepLines w:val="0"/>
        <w:widowControl/>
      </w:pPr>
      <w:r>
        <w:rPr>
          <w:rFonts w:ascii="Arial" w:hAnsi="Arial"/>
          <w:b/>
          <w:color w:val="202C3B"/>
          <w:sz w:val="18"/>
        </w:rPr>
        <w:t xml:space="preserve">A.5.1  General Rule.  </w:t>
      </w:r>
      <w:r>
        <w:rPr>
          <w:rFonts w:ascii="Arial" w:hAnsi="Arial"/>
          <w:color w:val="202C3B"/>
          <w:sz w:val="18"/>
        </w:rPr>
        <w:t>Cost of the Work consists of the reasonable, Project-specific costs listed in this Article that Design-Builder actually incurs or becomes obligated to pay in performing the Work, less credits required by A.5.8. A cost may be incurred before payment is made. A category is reimbursable only to the extent it relates to the Project, complies with the pricing basis, and is not listed as excluded.</w:t>
      </w:r>
    </w:p>
    <w:p>
      <w:pPr>
        <w:keepLines w:val="0"/>
        <w:widowControl/>
      </w:pPr>
      <w:r>
        <w:rPr>
          <w:rFonts w:ascii="Arial" w:hAnsi="Arial"/>
          <w:b/>
          <w:color w:val="202C3B"/>
          <w:sz w:val="18"/>
        </w:rPr>
        <w:t xml:space="preserve">A.5.2  Labor and Project Personnel.  </w:t>
      </w:r>
      <w:r>
        <w:rPr>
          <w:rFonts w:ascii="Arial" w:hAnsi="Arial"/>
          <w:color w:val="202C3B"/>
          <w:sz w:val="18"/>
        </w:rPr>
        <w:t>Reimbursable labor cost includes wages and salaries of field labor; Project managers, superintendents, engineers, coordinators, safety personnel, and administrative personnel assigned to the Project; payroll taxes; workers' compensation; unemployment insurance; customary benefits; paid leave; and labor burdens regularly applied by Design-Builder. Off-site personnel time is included when directly supporting design, procurement, scheduling, cost control, project administration, or closeout and is not already included in the Fee.</w:t>
      </w:r>
    </w:p>
    <w:p>
      <w:pPr>
        <w:keepLines w:val="0"/>
        <w:widowControl/>
      </w:pPr>
      <w:r>
        <w:rPr>
          <w:rFonts w:ascii="Arial" w:hAnsi="Arial"/>
          <w:b/>
          <w:color w:val="202C3B"/>
          <w:sz w:val="18"/>
        </w:rPr>
        <w:t xml:space="preserve">A.5.3  Design and Consultant Cost.  </w:t>
      </w:r>
      <w:r>
        <w:rPr>
          <w:rFonts w:ascii="Arial" w:hAnsi="Arial"/>
          <w:color w:val="202C3B"/>
          <w:sz w:val="18"/>
        </w:rPr>
        <w:t>Amounts paid or owed to architects, engineers, consultants, testing firms, surveyors, commissioning providers, and other professional or technical participants for the Project are Cost of the Work to the extent not included in a fixed design amount or Fee. Authorized additional design caused by a Change is reimbursable together with applicable markup or Fee.</w:t>
      </w:r>
    </w:p>
    <w:p>
      <w:pPr>
        <w:keepLines w:val="0"/>
        <w:widowControl/>
      </w:pPr>
      <w:r>
        <w:rPr>
          <w:rFonts w:ascii="Arial" w:hAnsi="Arial"/>
          <w:b/>
          <w:color w:val="202C3B"/>
          <w:sz w:val="18"/>
        </w:rPr>
        <w:t xml:space="preserve">A.5.4  Subcontractors and Suppliers.  </w:t>
      </w:r>
      <w:r>
        <w:rPr>
          <w:rFonts w:ascii="Arial" w:hAnsi="Arial"/>
          <w:color w:val="202C3B"/>
          <w:sz w:val="18"/>
        </w:rPr>
        <w:t>Amounts paid or owed under Project subcontracts, purchase orders, fabrication agreements, and supplier commitments are Cost of the Work, including approved Changes, escalation allocated to Owner, cancellation or restocking charges, freight, delivery, taxes, and other amounts required by those agreements. Lump-sum lower-tier awards are reimbursed at their agreed amount and are not converted to cost-plus by Owner audit.</w:t>
      </w:r>
    </w:p>
    <w:p>
      <w:pPr>
        <w:keepLines w:val="0"/>
        <w:widowControl/>
      </w:pPr>
      <w:r>
        <w:rPr>
          <w:rFonts w:ascii="Arial" w:hAnsi="Arial"/>
          <w:b/>
          <w:color w:val="202C3B"/>
          <w:sz w:val="18"/>
        </w:rPr>
        <w:t xml:space="preserve">A.5.5  Materials and Equipment Incorporated.  </w:t>
      </w:r>
      <w:r>
        <w:rPr>
          <w:rFonts w:ascii="Arial" w:hAnsi="Arial"/>
          <w:color w:val="202C3B"/>
          <w:sz w:val="18"/>
        </w:rPr>
        <w:t>Cost includes purchase, fabrication, transportation, delivery, handling, storage, protection, installation support, testing, and reasonable waste for materials and equipment incorporated or intended to be incorporated. Surplus material paid by Owner belongs to Owner at completion unless the parties agree to a credit and disposition.</w:t>
      </w:r>
    </w:p>
    <w:p>
      <w:pPr>
        <w:keepLines w:val="0"/>
        <w:widowControl/>
      </w:pPr>
      <w:r>
        <w:rPr>
          <w:rFonts w:ascii="Arial" w:hAnsi="Arial"/>
          <w:b/>
          <w:color w:val="202C3B"/>
          <w:sz w:val="18"/>
        </w:rPr>
        <w:t xml:space="preserve">A.5.6  Temporary Facilities and Construction Equipment.  </w:t>
      </w:r>
      <w:r>
        <w:rPr>
          <w:rFonts w:ascii="Arial" w:hAnsi="Arial"/>
          <w:color w:val="202C3B"/>
          <w:sz w:val="18"/>
        </w:rPr>
        <w:t>Cost includes temporary utilities, fencing, protection, access, scaffolding, hoisting, safety equipment, small tools, consumables, field offices, sanitation, security, winter conditions, storage, communications, Project technology, equipment operation, repair, fuel, transport, mobilization, and demobilization reasonably required for the Work.</w:t>
      </w:r>
    </w:p>
    <w:p>
      <w:pPr>
        <w:keepLines w:val="0"/>
        <w:widowControl/>
      </w:pPr>
      <w:r>
        <w:rPr>
          <w:rFonts w:ascii="Arial" w:hAnsi="Arial"/>
          <w:b/>
          <w:color w:val="202C3B"/>
          <w:sz w:val="18"/>
        </w:rPr>
        <w:t xml:space="preserve">A.5.7  Rented and Owned Equipment.  </w:t>
      </w:r>
      <w:r>
        <w:rPr>
          <w:rFonts w:ascii="Arial" w:hAnsi="Arial"/>
          <w:color w:val="202C3B"/>
          <w:sz w:val="18"/>
        </w:rPr>
        <w:t>Third-party rental is reimbursable at invoice cost plus the applicable markup. Design-Builder-owned equipment is reimbursable at the agreed rate below or, if blank, at a commercially reasonable rate not exceeding a recognized regional rental guide for comparable equipment, adjusted for operating cost included elsewhere. No markup is applied to an owned-equipment rate that already includes overhead and profit unless the table expressly allows it.</w:t>
      </w:r>
    </w:p>
    <w:tbl>
      <w:tblPr>
        <w:tblStyle w:val="TableGrid"/>
        <w:tblW w:type="dxa" w:w="9360"/>
        <w:jc w:val="left"/>
        <w:tblLayout w:type="fixed"/>
        <w:tblLook w:firstColumn="1" w:firstRow="1" w:lastColumn="0" w:lastRow="0" w:noHBand="0" w:noVBand="1" w:val="04A0"/>
        <w:tblInd w:w="90" w:type="dxa"/>
      </w:tblPr>
      <w:tblGrid>
        <w:gridCol w:w="3528"/>
        <w:gridCol w:w="1080"/>
        <w:gridCol w:w="1080"/>
        <w:gridCol w:w="1080"/>
        <w:gridCol w:w="2592"/>
      </w:tblGrid>
      <w:tr>
        <w:trPr>
          <w:cantSplit/>
          <w:tblHeader/>
        </w:trPr>
        <w:tc>
          <w:tcPr>
            <w:tcW w:type="dxa" w:w="352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EQUIPMENT / CLASS</w:t>
            </w:r>
          </w:p>
        </w:tc>
        <w:tc>
          <w:tcPr>
            <w:tcW w:type="dxa" w:w="108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HOURLY</w:t>
            </w:r>
          </w:p>
        </w:tc>
        <w:tc>
          <w:tcPr>
            <w:tcW w:type="dxa" w:w="108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DAILY</w:t>
            </w:r>
          </w:p>
        </w:tc>
        <w:tc>
          <w:tcPr>
            <w:tcW w:type="dxa" w:w="108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WEEKLY</w:t>
            </w:r>
          </w:p>
        </w:tc>
        <w:tc>
          <w:tcPr>
            <w:tcW w:type="dxa" w:w="259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NOTES</w:t>
            </w:r>
          </w:p>
        </w:tc>
      </w:tr>
      <w:tr>
        <w:trPr>
          <w:cantSplit/>
        </w:trPr>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108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w:t>
            </w:r>
          </w:p>
        </w:tc>
        <w:tc>
          <w:tcPr>
            <w:tcW w:type="dxa" w:w="259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A.5.8  Project-Specific Miscellaneous Cost.  </w:t>
      </w:r>
      <w:r>
        <w:rPr>
          <w:rFonts w:ascii="Arial" w:hAnsi="Arial"/>
          <w:color w:val="202C3B"/>
          <w:sz w:val="18"/>
        </w:rPr>
        <w:t>Cost includes permits and agency fees allocated to Design-Builder; Project taxes; premiums for Project insurance and bonds; code-required tests and inspections; document reproduction and delivery; Project communications and software; reasonable legal or dispute expense relating to lower-tier or third-party Project matters other than a dispute between Owner and Design-Builder; royalties and license fees; approved travel and relocation; emergency cost; and repair of damaged Work to the extent not caused by Design-Builder's breach and not recovered from insurance or another party.</w:t>
      </w:r>
    </w:p>
    <w:p>
      <w:pPr>
        <w:keepLines w:val="0"/>
        <w:widowControl/>
      </w:pPr>
      <w:r>
        <w:rPr>
          <w:rFonts w:ascii="Arial" w:hAnsi="Arial"/>
          <w:b/>
          <w:color w:val="202C3B"/>
          <w:sz w:val="18"/>
        </w:rPr>
        <w:t xml:space="preserve">A.5.9  Related-Party Transactions.  </w:t>
      </w:r>
      <w:r>
        <w:rPr>
          <w:rFonts w:ascii="Arial" w:hAnsi="Arial"/>
          <w:color w:val="202C3B"/>
          <w:sz w:val="18"/>
        </w:rPr>
        <w:t>Before entering a material transaction with a business under common ownership or control with Design-Builder, Design-Builder shall disclose the relationship and the proposed pricing basis. Reimbursement will not exceed the disclosed amount and will be commercially reasonable for the goods or services provided. Ordinary purchases from a disclosed affiliate under standing market-rate arrangements may be grouped in monthly reporting.</w:t>
      </w:r>
    </w:p>
    <w:p>
      <w:pPr>
        <w:keepLines w:val="0"/>
        <w:widowControl/>
      </w:pPr>
      <w:r>
        <w:rPr>
          <w:rFonts w:ascii="Arial" w:hAnsi="Arial"/>
          <w:b/>
          <w:color w:val="202C3B"/>
          <w:sz w:val="18"/>
        </w:rPr>
        <w:t xml:space="preserve">A.5.10  Excluded Cost.  </w:t>
      </w:r>
      <w:r>
        <w:rPr>
          <w:rFonts w:ascii="Arial" w:hAnsi="Arial"/>
          <w:color w:val="202C3B"/>
          <w:sz w:val="18"/>
        </w:rPr>
        <w:t>The following are not reimbursable Cost of the Work unless this Exhibit expressly includes them elsewhere:</w:t>
      </w:r>
    </w:p>
    <w:p>
      <w:pPr>
        <w:pStyle w:val="ListBullet"/>
      </w:pPr>
      <w:r>
        <w:t>General home-office rent, utilities, and administrative expense included in the Fee.</w:t>
      </w:r>
    </w:p>
    <w:p>
      <w:pPr>
        <w:pStyle w:val="ListBullet"/>
      </w:pPr>
      <w:r>
        <w:t>Interest on Design-Builder's capital and ordinary financing expense.</w:t>
      </w:r>
    </w:p>
    <w:p>
      <w:pPr>
        <w:pStyle w:val="ListBullet"/>
      </w:pPr>
      <w:r>
        <w:t>Cost caused by Design-Builder's material breach, negligence, or correction of its nonconforming Work, except to the extent recovered from insurance or another responsible party.</w:t>
      </w:r>
    </w:p>
    <w:p>
      <w:pPr>
        <w:pStyle w:val="ListBullet"/>
      </w:pPr>
      <w:r>
        <w:t>Fines and penalties caused by Design-Builder's violation of law.</w:t>
      </w:r>
    </w:p>
    <w:p>
      <w:pPr>
        <w:pStyle w:val="ListBullet"/>
      </w:pPr>
      <w:r>
        <w:t>Duplicate cost, unsupported personal expense, or cost unrelated to the Project.</w:t>
      </w:r>
    </w:p>
    <w:p>
      <w:pPr>
        <w:pStyle w:val="ListBullet"/>
      </w:pPr>
      <w:r>
        <w:t>Cost above the adjusted GMP that is not subject to a Contract adjustment.</w:t>
      </w:r>
    </w:p>
    <w:p>
      <w:pPr>
        <w:pStyle w:val="ListBullet"/>
      </w:pPr>
      <w:r>
        <w:t>A markup, Fee, or overhead charge not stated in the Contract.</w:t>
      </w:r>
    </w:p>
    <w:p>
      <w:pPr>
        <w:keepLines w:val="0"/>
        <w:widowControl/>
      </w:pPr>
      <w:r>
        <w:rPr>
          <w:rFonts w:ascii="Arial" w:hAnsi="Arial"/>
          <w:b/>
          <w:color w:val="202C3B"/>
          <w:sz w:val="18"/>
        </w:rPr>
        <w:t xml:space="preserve">A.5.11  Markups and Fee Application.  </w:t>
      </w:r>
      <w:r>
        <w:rPr>
          <w:rFonts w:ascii="Arial" w:hAnsi="Arial"/>
          <w:color w:val="202C3B"/>
          <w:sz w:val="18"/>
        </w:rPr>
        <w:t>Only the markups stated below may be added to the applicable cost base. A blank field means the cost is included elsewhere or billed without an added category markup. No fee-on-fee, markup-on-markup, or compounded lower-tier markup applies unless expressly stated. Insurance, bond, tax, and permit cost may be passed through at actual Project cost and may receive only the markup identified below.</w:t>
      </w:r>
    </w:p>
    <w:tbl>
      <w:tblPr>
        <w:tblStyle w:val="TableGrid"/>
        <w:tblW w:type="dxa" w:w="9360"/>
        <w:jc w:val="left"/>
        <w:tblLayout w:type="fixed"/>
        <w:tblLook w:firstColumn="1" w:firstRow="1" w:lastColumn="0" w:lastRow="0" w:noHBand="0" w:noVBand="1" w:val="04A0"/>
        <w:tblInd w:w="90" w:type="dxa"/>
      </w:tblPr>
      <w:tblGrid>
        <w:gridCol w:w="3600"/>
        <w:gridCol w:w="2160"/>
        <w:gridCol w:w="3600"/>
      </w:tblGrid>
      <w:tr>
        <w:trPr>
          <w:cantSplit/>
          <w:tblHeader/>
        </w:trPr>
        <w:tc>
          <w:tcPr>
            <w:tcW w:type="dxa" w:w="360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COST CATEGORY</w:t>
            </w:r>
          </w:p>
        </w:tc>
        <w:tc>
          <w:tcPr>
            <w:tcW w:type="dxa" w:w="216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PERMITTED MARKUP / FEE</w:t>
            </w:r>
          </w:p>
        </w:tc>
        <w:tc>
          <w:tcPr>
            <w:tcW w:type="dxa" w:w="360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COST BASE / NOTES</w:t>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Subcontractor work</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Materials and supplies</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 consultants</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Third-party equipment rental</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Owned equipment</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Testing / surveys / specialty services</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Insurance and bonds</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Taxes, permits, and agency fees</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Change Work</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600"/>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Lower-tier markup cap</w:t>
            </w:r>
          </w:p>
        </w:tc>
        <w:tc>
          <w:tcPr>
            <w:tcW w:type="dxa" w:w="216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 %</w:t>
            </w:r>
          </w:p>
        </w:tc>
        <w:tc>
          <w:tcPr>
            <w:tcW w:type="dxa" w:w="36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A.5.12  Discounts, Refunds, and Salvage.  </w:t>
      </w:r>
      <w:r>
        <w:rPr>
          <w:rFonts w:ascii="Arial" w:hAnsi="Arial"/>
          <w:color w:val="202C3B"/>
          <w:sz w:val="18"/>
        </w:rPr>
        <w:t>A cash discount, rebate, refund, return credit, insurance recovery, or sale proceeds attributable to a cost reimbursed by Owner will be credited to the Cost of the Work, net of reasonable recovery or disposition expense. A discount belongs to Owner only if Design-Builder had sufficient corresponding Owner funds to obtain it when due. Trade discounts reflected in an agreed lump-sum lower-tier award are already included in that award and are not separately credited.</w:t>
      </w:r>
    </w:p>
    <w:p>
      <w:pPr>
        <w:keepLines w:val="0"/>
        <w:widowControl/>
      </w:pPr>
      <w:r>
        <w:rPr>
          <w:rFonts w:ascii="Arial" w:hAnsi="Arial"/>
          <w:b/>
          <w:color w:val="202C3B"/>
          <w:sz w:val="18"/>
        </w:rPr>
        <w:t xml:space="preserve">A.5.13  Weekly Reconciliation.  </w:t>
      </w:r>
      <w:r>
        <w:rPr>
          <w:rFonts w:ascii="Arial" w:hAnsi="Arial"/>
          <w:color w:val="202C3B"/>
          <w:sz w:val="18"/>
        </w:rPr>
        <w:t>Design-Builder shall maintain a weekly internal reconciliation of committed cost, approved and pending Changes, allowance and contingency activity, forecast-to-complete, billed cost, and material variance from the current GMP control budget. The forecast is a management tool only and is not a warranty of final cost, a new GMP, or a waiver of unresolved Changes. On reasonable request, Design-Builder will review the current reconciliation with Owner during the regular Project meeting.</w:t>
      </w:r>
    </w:p>
    <w:p>
      <w:pPr>
        <w:keepLines w:val="0"/>
        <w:widowControl/>
      </w:pPr>
      <w:r>
        <w:rPr>
          <w:rFonts w:ascii="Arial" w:hAnsi="Arial"/>
          <w:b/>
          <w:color w:val="202C3B"/>
          <w:sz w:val="18"/>
        </w:rPr>
        <w:t xml:space="preserve">A.5.14  Monthly Cost Report.  </w:t>
      </w:r>
      <w:r>
        <w:rPr>
          <w:rFonts w:ascii="Arial" w:hAnsi="Arial"/>
          <w:color w:val="202C3B"/>
          <w:sz w:val="18"/>
        </w:rPr>
        <w:t>With each payment application, Design-Builder shall provide a cost report showing original GMP allocation, approved Changes, current GMP, commitments, cost to date, forecast-to-complete, allowances, contingencies, Fee, billed amount, and material variance. Forecasts are based on information then available and may change with design, buyout, productivity, market, site, and Project events.</w:t>
      </w:r>
    </w:p>
    <w:p>
      <w:pPr>
        <w:keepLines w:val="0"/>
        <w:widowControl/>
      </w:pPr>
      <w:r>
        <w:rPr>
          <w:rFonts w:ascii="Arial" w:hAnsi="Arial"/>
          <w:b/>
          <w:color w:val="202C3B"/>
          <w:sz w:val="18"/>
        </w:rPr>
        <w:t xml:space="preserve">A.5.15  Project-Specific Audit Procedure.  </w:t>
      </w:r>
      <w:r>
        <w:rPr>
          <w:rFonts w:ascii="Arial" w:hAnsi="Arial"/>
          <w:color w:val="202C3B"/>
          <w:sz w:val="18"/>
        </w:rPr>
        <w:t>Owner's audit right is limited to reimbursable Cost of the Work for this Project and the specific records and process stated below. It does not create a general right to inspect Design-Builder's business, other projects, tax returns, fixed Fee, fixed rates, agreed markups, proprietary labor burden, or lump-sum lower-tier cost detail. Owner shall use an independent auditor bound to confidentiality, give reasonable notice, avoid interfering with Work, and issue a written exception report. Mathematical error, duplicate billing, non-Project cost, or cost expressly excluded by the Contract may be corrected. Commercial judgments, estimates, and properly incurred costs are not disallowed merely because a lower price might have been available.</w:t>
      </w:r>
    </w:p>
    <w:tbl>
      <w:tblPr>
        <w:tblStyle w:val="TableGrid"/>
        <w:tblW w:type="dxa" w:w="9360"/>
        <w:jc w:val="left"/>
        <w:tblLayout w:type="fixed"/>
        <w:tblLook w:firstColumn="1" w:firstRow="1" w:lastColumn="0" w:lastRow="0" w:noHBand="0" w:noVBand="1" w:val="04A0"/>
        <w:tblInd w:w="90" w:type="dxa"/>
      </w:tblPr>
      <w:tblGrid>
        <w:gridCol w:w="3096"/>
        <w:gridCol w:w="6264"/>
      </w:tblGrid>
      <w:tr>
        <w:trPr>
          <w:cantSplit/>
          <w:tblHeader/>
        </w:trPr>
        <w:tc>
          <w:tcPr>
            <w:tcW w:type="dxa" w:w="309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AUDIT CONTROL</w:t>
            </w:r>
          </w:p>
        </w:tc>
        <w:tc>
          <w:tcPr>
            <w:tcW w:type="dxa" w:w="626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PROJECT-SPECIFIC AGREED TERM</w:t>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Audit purpose</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Final Cost of the Work reconciliation for this Project</w:t>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Records included</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Records excluded</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Notice period</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Review location / secure access</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Exception-response period</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Cost of audit</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Confidentiality requirements</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A.5.16  Record Retention.  </w:t>
      </w:r>
      <w:r>
        <w:rPr>
          <w:rFonts w:ascii="Arial" w:hAnsi="Arial"/>
          <w:color w:val="202C3B"/>
          <w:sz w:val="18"/>
        </w:rPr>
        <w:t>Design-Builder shall retain Cost of the Work records included in the agreed audit scope for three years after final payment or longer if mandatory law requires. Electronic records and ordinary accounting-system reports are acceptable. Design-Builder is not required to create records it does not ordinarily maintain or disclose privileged communications.</w:t>
      </w:r>
    </w:p>
    <w:p>
      <w:pPr>
        <w:keepLines w:val="0"/>
        <w:widowControl/>
      </w:pPr>
      <w:r>
        <w:rPr>
          <w:rFonts w:ascii="Arial" w:hAnsi="Arial"/>
          <w:b/>
          <w:color w:val="202C3B"/>
          <w:sz w:val="18"/>
        </w:rPr>
        <w:t xml:space="preserve">A.5.17  Final Reconciliation.  </w:t>
      </w:r>
      <w:r>
        <w:rPr>
          <w:rFonts w:ascii="Arial" w:hAnsi="Arial"/>
          <w:color w:val="202C3B"/>
          <w:sz w:val="18"/>
        </w:rPr>
        <w:t>After Final Completion and resolution of material commitments, Design-Builder shall submit a final accounting of Cost of the Work, Fee, Changes, allowances, contingencies, credits, and Savings. Owner shall identify any specific exception within thirty days. Undisputed final payment remains due under A.1.13. The parties shall sign a final reconciliation Change Order or written settlement; an audit does not unilaterally amend the GMP.</w:t>
      </w:r>
    </w:p>
    <w:p>
      <w:pPr>
        <w:keepLines w:val="0"/>
        <w:widowControl/>
      </w:pPr>
      <w:r>
        <w:rPr>
          <w:rFonts w:ascii="Arial" w:hAnsi="Arial"/>
          <w:b/>
          <w:color w:val="202C3B"/>
          <w:sz w:val="18"/>
        </w:rPr>
        <w:t xml:space="preserve">A.5.18  Relationship of the Parties.  </w:t>
      </w:r>
      <w:r>
        <w:rPr>
          <w:rFonts w:ascii="Arial" w:hAnsi="Arial"/>
          <w:color w:val="202C3B"/>
          <w:sz w:val="18"/>
        </w:rPr>
        <w:t>Design-Builder shall use commercially reasonable judgment to procure and administer the Work in Owner's interest while remaining an independent contractor. Nothing in the open-book process makes Design-Builder Owner's agent, fiduciary, lender, or guarantor of Owner's budget or financing.</w:t>
      </w:r>
    </w:p>
    <w:p>
      <w:pPr>
        <w:pStyle w:val="Heading1"/>
      </w:pPr>
      <w:r>
        <w:t>ARTICLE A.6  |  FINAL COMMERCIAL ELECTIONS</w:t>
      </w:r>
    </w:p>
    <w:p>
      <w:pPr>
        <w:keepLines w:val="0"/>
        <w:widowControl/>
      </w:pPr>
      <w:r>
        <w:rPr>
          <w:rFonts w:ascii="Arial" w:hAnsi="Arial"/>
          <w:b/>
          <w:color w:val="202C3B"/>
          <w:sz w:val="18"/>
        </w:rPr>
        <w:t xml:space="preserve">A.6.1  Insurance and Bonds.  </w:t>
      </w:r>
      <w:r>
        <w:rPr>
          <w:rFonts w:ascii="Arial" w:hAnsi="Arial"/>
          <w:color w:val="202C3B"/>
          <w:sz w:val="18"/>
        </w:rPr>
        <w:t>The following Project-specific insurance and bond requirements supplement the Agreement. A blank requirement does not apply except for insurance required by law or Design-Builder's ordinary program.</w:t>
      </w:r>
    </w:p>
    <w:tbl>
      <w:tblPr>
        <w:tblStyle w:val="TableGrid"/>
        <w:tblW w:type="dxa" w:w="9360"/>
        <w:jc w:val="left"/>
        <w:tblLayout w:type="fixed"/>
        <w:tblLook w:firstColumn="1" w:firstRow="1" w:lastColumn="0" w:lastRow="0" w:noHBand="0" w:noVBand="1" w:val="04A0"/>
        <w:tblInd w:w="90" w:type="dxa"/>
      </w:tblPr>
      <w:tblGrid>
        <w:gridCol w:w="3096"/>
        <w:gridCol w:w="2520"/>
        <w:gridCol w:w="3744"/>
      </w:tblGrid>
      <w:tr>
        <w:trPr>
          <w:cantSplit/>
          <w:tblHeader/>
        </w:trPr>
        <w:tc>
          <w:tcPr>
            <w:tcW w:type="dxa" w:w="309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COVERAGE / BOND</w:t>
            </w:r>
          </w:p>
        </w:tc>
        <w:tc>
          <w:tcPr>
            <w:tcW w:type="dxa" w:w="252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REQUIRED LIMIT / AMOUNT</w:t>
            </w:r>
          </w:p>
        </w:tc>
        <w:tc>
          <w:tcPr>
            <w:tcW w:type="dxa" w:w="374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RESPONSIBLE PARTY / NOTES</w:t>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Commercial general liability</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Automobile liability</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Workers' compensation / employers liability</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Professional liability</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Builder's risk / property</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Pollution liability</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Cyber / technology</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Payment bond</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Performance bond</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252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374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A.6.2  Closeout and Final Conditions.  </w:t>
      </w:r>
      <w:r>
        <w:rPr>
          <w:rFonts w:ascii="Arial" w:hAnsi="Arial"/>
          <w:color w:val="202C3B"/>
          <w:sz w:val="18"/>
        </w:rPr>
        <w:t>The following Project-specific closeout and Final Payment items are included. Requirements not listed remain governed by the Agreement and the pricing basis.</w:t>
      </w:r>
    </w:p>
    <w:tbl>
      <w:tblPr>
        <w:tblStyle w:val="TableGrid"/>
        <w:tblW w:type="dxa" w:w="9360"/>
        <w:jc w:val="left"/>
        <w:tblLayout w:type="fixed"/>
        <w:tblLook w:firstColumn="1" w:firstRow="1" w:lastColumn="0" w:lastRow="0" w:noHBand="0" w:noVBand="1" w:val="04A0"/>
        <w:tblInd w:w="90" w:type="dxa"/>
      </w:tblPr>
      <w:tblGrid>
        <w:gridCol w:w="3240"/>
        <w:gridCol w:w="6120"/>
      </w:tblGrid>
      <w:tr>
        <w:trPr>
          <w:cantSplit/>
          <w:tblHeader/>
        </w:trPr>
        <w:tc>
          <w:tcPr>
            <w:tcW w:type="dxa" w:w="3240"/>
            <w:vAlign w:val="center"/>
            <w:tcMar>
              <w:top w:w="30" w:type="dxa"/>
              <w:start w:w="90" w:type="dxa"/>
              <w:bottom w:w="30" w:type="dxa"/>
              <w:end w:w="90" w:type="dxa"/>
            </w:tcMar>
            <w:shd w:fill="202C3B" w:val="clear"/>
          </w:tcPr>
          <w:p>
            <w:pPr>
              <w:spacing w:before="0" w:after="0" w:line="240" w:lineRule="auto"/>
            </w:pPr>
            <w:r>
              <w:rPr>
                <w:rFonts w:ascii="Arial" w:hAnsi="Arial"/>
                <w:b/>
                <w:color w:val="FFFFFF"/>
                <w:sz w:val="15"/>
              </w:rPr>
              <w:t>CLOSEOUT ITEM</w:t>
            </w:r>
          </w:p>
        </w:tc>
        <w:tc>
          <w:tcPr>
            <w:tcW w:type="dxa" w:w="6120"/>
            <w:vAlign w:val="center"/>
            <w:tcMar>
              <w:top w:w="30" w:type="dxa"/>
              <w:start w:w="90" w:type="dxa"/>
              <w:bottom w:w="30" w:type="dxa"/>
              <w:end w:w="90" w:type="dxa"/>
            </w:tcMar>
            <w:shd w:fill="202C3B" w:val="clear"/>
          </w:tcPr>
          <w:p>
            <w:pPr>
              <w:spacing w:before="0" w:after="0" w:line="240" w:lineRule="auto"/>
            </w:pPr>
            <w:r>
              <w:rPr>
                <w:rFonts w:ascii="Arial" w:hAnsi="Arial"/>
                <w:b/>
                <w:color w:val="FFFFFF"/>
                <w:sz w:val="15"/>
              </w:rPr>
              <w:t>REQUIRED FORM / RESPONSIBLE PARTY / DUE DATE</w:t>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Record documents</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Operation and maintenance manuals</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Training</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Commissioning</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Warranties</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Attic stock / spare parts</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Final lien documentation</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Consent of surety</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240"/>
            <w:vAlign w:val="center"/>
            <w:tcMar>
              <w:top w:w="30" w:type="dxa"/>
              <w:start w:w="90" w:type="dxa"/>
              <w:bottom w:w="30" w:type="dxa"/>
              <w:end w:w="90" w:type="dxa"/>
            </w:tcMar>
            <w:shd w:fill="F2F3F5" w:val="clear"/>
          </w:tcPr>
          <w:p>
            <w:pPr>
              <w:spacing w:before="0" w:after="0" w:line="240" w:lineRule="auto"/>
            </w:pPr>
            <w:r>
              <w:rPr>
                <w:rFonts w:ascii="Arial" w:hAnsi="Arial"/>
                <w:b/>
                <w:color w:val="202C3B"/>
                <w:sz w:val="16"/>
              </w:rPr>
              <w:t>Other</w:t>
            </w:r>
          </w:p>
        </w:tc>
        <w:tc>
          <w:tcPr>
            <w:tcW w:type="dxa" w:w="6120"/>
            <w:vAlign w:val="center"/>
            <w:tcMar>
              <w:top w:w="30" w:type="dxa"/>
              <w:start w:w="90" w:type="dxa"/>
              <w:bottom w:w="3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A.6.3  Incorporation.  </w:t>
      </w:r>
      <w:r>
        <w:rPr>
          <w:rFonts w:ascii="Arial" w:hAnsi="Arial"/>
          <w:color w:val="202C3B"/>
          <w:sz w:val="18"/>
        </w:rPr>
        <w:t>Except as modified by this Exhibit A, the Agreement remains in effect. If this Exhibit conflicts with the Agreement on a Project-specific GMP, Cost of the Work, payment, or Contract Time term, this Exhibit controls that subject. The Agreement controls general legal and administrative terms.</w:t>
      </w:r>
    </w:p>
    <w:p>
      <w:pPr>
        <w:spacing w:before="160" w:after="160"/>
      </w:pPr>
      <w:r>
        <w:rPr>
          <w:rFonts w:ascii="Arial" w:hAnsi="Arial"/>
          <w:b/>
          <w:color w:val="202C3B"/>
          <w:sz w:val="18"/>
        </w:rPr>
        <w:t>The parties execute this Exhibit A - Design-Build GMP Amendment as of the effective date stated above.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trPr>
        <w:tc>
          <w:tcPr>
            <w:tcW w:type="dxa" w:w="4680"/>
            <w:tcMar>
              <w:top w:w="120" w:type="dxa"/>
              <w:start w:w="120" w:type="dxa"/>
              <w:bottom w:w="120" w:type="dxa"/>
              <w:end w:w="120" w:type="dxa"/>
            </w:tcMar>
            <w:shd w:fill="F2F3F5" w:val="clear"/>
          </w:tcPr>
          <w:p>
            <w:pPr>
              <w:spacing w:after="0"/>
            </w:pPr>
            <w:r>
              <w:rPr>
                <w:rFonts w:ascii="Arial" w:hAnsi="Arial"/>
                <w:b/>
                <w:color w:val="202C3B"/>
                <w:sz w:val="17"/>
              </w:rPr>
              <w:t>OWNER</w:t>
            </w:r>
          </w:p>
        </w:tc>
        <w:tc>
          <w:tcPr>
            <w:tcW w:type="dxa" w:w="4680"/>
            <w:tcMar>
              <w:top w:w="120" w:type="dxa"/>
              <w:start w:w="120" w:type="dxa"/>
              <w:bottom w:w="120" w:type="dxa"/>
              <w:end w:w="120" w:type="dxa"/>
            </w:tcMar>
            <w:shd w:fill="F2F3F5" w:val="clear"/>
          </w:tcPr>
          <w:p>
            <w:pPr>
              <w:spacing w:after="0"/>
            </w:pPr>
            <w:r>
              <w:rPr>
                <w:rFonts w:ascii="Arial" w:hAnsi="Arial"/>
                <w:b/>
                <w:color w:val="202C3B"/>
                <w:sz w:val="17"/>
              </w:rPr>
              <w:t>MEFFORD CONTRACTING, LLC</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Signature: __________________________________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Signature: __________________________________</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Printed name: 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Printed name: _______________________________</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Title: ______________________________________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Title: ______________________________________</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Date: ______________________________________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Date: ______________________________________</w:t>
            </w:r>
          </w:p>
        </w:tc>
      </w:tr>
    </w:tbl>
    <w:sectPr w:rsidR="00FC693F" w:rsidRPr="0006063C" w:rsidSect="00034616">
      <w:headerReference w:type="default" r:id="rId9"/>
      <w:footerReference w:type="default" r:id="rId10"/>
      <w:footerReference w:type="first" r:id="rId11"/>
      <w:headerReference w:type="first" r:id="rId13"/>
      <w:headerReference w:type="even" r:id="rId14"/>
      <w:footerReference w:type="even" r:id="rId15"/>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MC-OWN-DBGMP-001-A REV. 3.0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MC-OWN-DBGMP-001-A REV. 3.0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EXHIBIT A - DESIGN-BUILD GMP AMENDMENT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4" w:line="247" w:lineRule="auto" w:before="0"/>
    </w:pPr>
    <w:rPr>
      <w:rFonts w:ascii="Arial" w:hAnsi="Arial"/>
      <w:color w:val="202C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outlineLvl w:val="0"/>
    </w:pPr>
    <w:rPr>
      <w:rFonts w:asciiTheme="majorHAnsi" w:eastAsiaTheme="majorEastAsia" w:hAnsiTheme="majorHAnsi" w:cstheme="majorBidi" w:ascii="Arial" w:hAnsi="Arial"/>
      <w:b/>
      <w:bCs/>
      <w:color w:val="922E26"/>
      <w:sz w:val="29"/>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rial" w:hAnsi="Arial"/>
      <w:b/>
      <w:bCs/>
      <w:color w:val="202C3B"/>
      <w:sz w:val="20"/>
      <w:szCs w:val="26"/>
    </w:rPr>
  </w:style>
  <w:style w:type="paragraph" w:styleId="Heading3">
    <w:name w:val="heading 3"/>
    <w:basedOn w:val="Normal"/>
    <w:next w:val="Normal"/>
    <w:link w:val="Heading3Char"/>
    <w:uiPriority w:val="9"/>
    <w:unhideWhenUsed/>
    <w:qFormat/>
    <w:rsid w:val="00FC693F"/>
    <w:pPr>
      <w:keepNext/>
      <w:keepLines/>
      <w:pageBreakBefore w:val="0"/>
      <w:spacing w:before="60" w:after="20"/>
      <w:outlineLvl w:val="2"/>
    </w:pPr>
    <w:rPr>
      <w:rFonts w:asciiTheme="majorHAnsi" w:eastAsiaTheme="majorEastAsia" w:hAnsiTheme="majorHAnsi" w:cstheme="majorBidi" w:ascii="Arial" w:hAnsi="Arial"/>
      <w:b/>
      <w:bCs/>
      <w:color w:val="202C3B"/>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2"/>
      <w:contextualSpacing/>
    </w:pPr>
    <w:rPr>
      <w:rFonts w:ascii="Arial" w:hAnsi="Arial"/>
      <w:color w:val="202C3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2"/>
      <w:contextualSpacing/>
    </w:pPr>
    <w:rPr>
      <w:rFonts w:ascii="Arial" w:hAnsi="Arial"/>
      <w:color w:val="202C3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Exhibit A - Design-Build GMP Amendment</dc:title>
  <dc:subject>Final Guaranteed Maximum Price and construction authorization</dc:subject>
  <dc:creator>Mefford Contracting, LLC</dc:creator>
  <cp:keywords>Design-Build, Guaranteed Maximum Price, GMP, owner contract</cp:keywords>
  <dc:description>generated by python-docx</dc:description>
  <cp:lastModifiedBy/>
  <cp:revision>1</cp:revision>
  <dcterms:created xsi:type="dcterms:W3CDTF">2013-12-23T23:15:00Z</dcterms:created>
  <dcterms:modified xsi:type="dcterms:W3CDTF">2013-12-23T23:15:00Z</dcterms:modified>
  <cp:category/>
</cp:coreProperties>
</file>