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Design Sensitivity (Minimum Detectable Effect) Analysis</w:t>
      </w:r>
    </w:p>
    <w:p>
      <w:pPr>
        <w:pStyle w:val="Titre2"/>
      </w:pPr>
      <w:r>
        <w:t xml:space="preserve">Primary 3-test family -- prepared for Reviewer 5 response</w:t>
      </w:r>
    </w:p>
    <w:p>
      <w:pPr>
        <w:pStyle w:val="Normal"/>
      </w:pPr>
      <w:r>
        <w:t xml:space="preserve">Source: src/R/power_mde_analysis.R. Report generated: 2026-08-20. All numbers below are pulled directly from that script's output; see Section 5 for reproducibility details.</w:t>
      </w:r>
    </w:p>
    <w:p>
      <w:pPr>
        <w:pStyle w:val="Titre1"/>
      </w:pPr>
      <w:r>
        <w:t xml:space="preserve">1. Purpose and framing</w:t>
      </w:r>
    </w:p>
    <w:p>
      <w:pPr>
        <w:pStyle w:val="Normal"/>
      </w:pPr>
      <w:r>
        <w:t xml:space="preserve">Reviewer 5 rejects retroactive sample-size justifications for this study ("didn't know the effect size a priori," "grant required collecting all the data," "parent-trial enrollment cap"). This analysis answers a different, defensible question instead: what effect size could this design, at its realized sample size, actually detect -- reported per test, not as evidence the study was adequately powered in advance.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Framing rule: every sentence built from these numbers must read as "this design could detect effects of at least this size," never as "the study was powered to detect its actual effects" or any variant implying retroactive adequacy. Getting this framing wrong undoes the point of doing the analysis at all.</w:t>
      </w:r>
    </w:p>
    <w:p>
      <w:pPr>
        <w:pStyle w:val="Normal"/>
      </w:pPr>
      <w:r>
        <w:t xml:space="preserve">This is a design-level sensitivity analysis (a property of n, alpha, and test structure) and is kept independent of any single fitted model's specification; Section 3 below computes the effects actually observed, purely for comparison against the detection floors in Sections 1-2, not as a new primary analysis.</w:t>
      </w:r>
    </w:p>
    <w:p>
      <w:pPr>
        <w:pStyle w:val="Titre1"/>
      </w:pPr>
      <w:r>
        <w:t xml:space="preserve">2. Methods</w:t>
      </w:r>
    </w:p>
    <w:p>
      <w:pPr>
        <w:pStyle w:val="Titre2"/>
      </w:pPr>
      <w:r>
        <w:t xml:space="preserve">2.1 General approach</w:t>
      </w:r>
    </w:p>
    <w:p>
      <w:pPr>
        <w:pStyle w:val="Normal"/>
      </w:pPr>
      <w:r>
        <w:t xml:space="preserve">For each test in the primary three-test family, we computed the minimum detectable effect (MDE): the smallest true effect size that the study design, at its realized sample size, could detect with 80% power at a specified significance threshold. This is the inverse of a conventional power calculation -- rather than solving for the sample size needed to detect an assumed effect, we fixed the realized sample size, alpha, and power (0.80) and solved for the detectable effect size. MDEs were computed with the pwr package (Champely, 2020) in R (R Core Team, 2024).</w:t>
      </w:r>
    </w:p>
    <w:p>
      <w:pPr>
        <w:pStyle w:val="Titre2"/>
      </w:pPr>
      <w:r>
        <w:t xml:space="preserve">2.2 Tests (a) and (b): task specificity, paired designs</w:t>
      </w:r>
    </w:p>
    <w:p>
      <w:pPr>
        <w:pStyle w:val="Normal"/>
      </w:pPr>
      <w:r>
        <w:t xml:space="preserve">Tests (a) (dopamine x reinforcement-learning task) and (b) (serotonin x Ultimatum Game task) are, at the design level, paired pre-/post-stimulation comparisons. MDEs were computed with pwr.t.test(type = "paired", alternative = "two.sided"), solving for the standardized mean difference (Cohen's dz) at n = 8 (test a) and n = 10 (test b), alpha = .05, and 80% power. This collapses each subject's trial-level, mixed-effects data (which also models trial-level replication and by-subject random slopes in the primary analyses) down to a single paired comparison of subject-level means -- a real simplification that ignores the extra precision trial-level replication provides. The MDEs in Table 1 should therefore be read as a conservative, upper-bound-ish estimate of what a subject-level summary of this design could detect, not a substitute for the full mixed model's actual power (which was not separately simulated; see robustness_analysis_plan.md section 3.5).</w:t>
      </w:r>
    </w:p>
    <w:p>
      <w:pPr>
        <w:pStyle w:val="Normal"/>
      </w:pPr>
      <w:r>
        <w:t xml:space="preserve">Observed effect sizes for comparison (Table 3a) were computed independently, on the same per-subject pre-/post-stimulation change scores, using effectsize::cohens_d() (one-sample form against zero), which additionally supplies a confidence interval via the noncentral-t distribution -- directly comparable to the dz values in Table 1.</w:t>
      </w:r>
    </w:p>
    <w:p>
      <w:pPr>
        <w:pStyle w:val="Titre2"/>
      </w:pPr>
      <w:r>
        <w:t xml:space="preserve">2.3 Test (c): DA x 5-HT interaction on month-6 HDRS</w:t>
      </w:r>
    </w:p>
    <w:p>
      <w:pPr>
        <w:pStyle w:val="Normal"/>
      </w:pPr>
      <w:r>
        <w:t xml:space="preserve">Test (c) is the interaction term in an ordinary least-squares regression, HDRS ~ deltaDA_UG * deltaSE_UG (n = 10; 3 predictors). MDE for the interaction term was computed with pwr.f2.test(), with numerator df u = 1 (one interaction term) and residual df v = 6 (n - k - 1, k = 3 predictors), converting Cohen's f2 to partial R2 via R2 = f2 / (1 + f2). MDEs are reported both at the Bonferroni-corrected alpha for this three-test family (.05/3 = .0167, matching the correction applied to this test elsewhere) and at the uncorrected alpha (.05), for reference.</w:t>
      </w:r>
    </w:p>
    <w:p>
      <w:pPr>
        <w:pStyle w:val="Normal"/>
      </w:pPr>
      <w:r>
        <w:t xml:space="preserve">The observed effect size for the interaction term (Table 3b) was computed by refitting the same model from an independently-derived data-preparation pipeline, then cross-checking its estimate and p-value against the primary analysis script's own fitted model before use (the two are required to agree; a mismatch would indicate a bug in one of the two pipelines, not an acceptable discrepancy). The observed partial R2 and f2 specifically attributable to the interaction term were computed via a nested-model comparison: the reduction in residual sum of squares from adding the interaction term to a model with only the two main effects, divided by the reduced model's residual sum of squares.</w:t>
      </w:r>
    </w:p>
    <w:p>
      <w:pPr>
        <w:pStyle w:val="Titre2"/>
      </w:pPr>
      <w:r>
        <w:t xml:space="preserve">2.4 External effect-size grounding</w:t>
      </w:r>
    </w:p>
    <w:p>
      <w:pPr>
        <w:pStyle w:val="Normal"/>
      </w:pPr>
      <w:r>
        <w:t xml:space="preserve">To provide empirical context for what monoamine effect magnitudes might plausibly be expected in an analogous paradigm, standardized effect sizes were transcribed from a related published study using the same task and measurement method in a different population and clinical/anatomical target (Batten et al., 2024, Nat. Hum. Behav. 8, 718-728; same Ultimatum Game task, same human- electrochemistry method, overlapping author team). Because the published effects were reported on two different native scales -- a Cohen's-d-equivalent for a categorical condition contrast, and an approximate correlation r for two continuous trial-level covariates -- both were converted onto a common d scale and a common r scale using the standard two-independent-groups conversion formulas (r = d / sqrt(d^2 + 4); d = 2r / sqrt(1 - r^2)) before comparison. These are trial-level mixed-effects estimates (n = 426-454 trial-level df) from a much higher-powered design than the present study's subject-level comparisons (n = 8-10) and are not directly power-comparable to the MDEs above; they are presented only as effect-magnitude grounding. This grounding is used for tests (a) and (b) specifically, which are structurally condition/state contrasts in a task-evoked signal; it is not used for test (c) (see §2.5).</w:t>
      </w:r>
    </w:p>
    <w:p>
      <w:pPr>
        <w:pStyle w:val="Titre1"/>
      </w:pPr>
      <w:r>
        <w:t xml:space="preserve">3. Results</w:t>
      </w:r>
    </w:p>
    <w:p>
      <w:pPr>
        <w:pStyle w:val="Titre2"/>
      </w:pPr>
      <w:r>
        <w:t xml:space="preserve">2.5 External grounding for test (c): Alagapan et al. (2023)</w:t>
      </w:r>
    </w:p>
    <w:p>
      <w:pPr>
        <w:pStyle w:val="Normal"/>
      </w:pPr>
      <w:r>
        <w:t xml:space="preserve">To provide grounding specifically for test (c) -- the DA x 5-HT interaction predicting month-6 HDRS -- we cite a directly comparable prior study: Alagapan et al. (2023, Nature 622, 130-138), which developed a subcallosal-cingulate LFP-derived biomarker predicting clinical depression state in the same disease population (treatment- resistant depression), the same anatomical target (SCC), and the same overall trial infrastructure, at a comparable or smaller sample size (n = 5 typical responders; n = 6 total usable LFP dataset). This grounds test (c) specifically -- a neural signal predicting a clinical depression outcome -- and is not used for tests (a)/(b), for which Batten et al. (§2.4) is the grounding source instead.</w:t>
      </w:r>
    </w:p>
    <w:p>
      <w:pPr>
        <w:pStyle w:val="Normal"/>
      </w:pPr>
      <w:r>
        <w:t xml:space="preserve">Alagapan et al.'s biomarker analysis is a within-subject, longitudinal state classifier (does each patient's own LFP track their own sick/stable-response trajectory over 24 weeks?), while test (c) is a between-subject, single-timepoint regression interaction (do two monoamine change scores jointly predict one later HDRS value, across patients?). These are related but not identical estimands. Because the published effects are reported as cross-validated classification AUCs and Wilcoxon/permutation P-values -- not as standardized effect sizes on a scale comparable to test (c)'s partial R^2 -- we present them on their native scale as structural/feasibility precedent only (Table 5), not as a numeric power comparison; converting AUC to a common d/r scale (e.g. via the probit relationship) would chain several assumption-laden steps on top of numbers that are themselves means over 5-fold cross-validation, which we do not consider a defensible basis for a specific converted number.</w:t>
      </w:r>
    </w:p>
    <w:p>
      <w:pPr>
        <w:pStyle w:val="Titre2"/>
      </w:pPr>
      <w:r>
        <w:t xml:space="preserve">2.6 Field-standard precedent for small-n biomarker studies in this research program</w:t>
      </w:r>
    </w:p>
    <w:p>
      <w:pPr>
        <w:pStyle w:val="Normal"/>
      </w:pPr>
      <w:r>
        <w:t xml:space="preserve">We additionally note that Alagapan et al. (2023) -- a study of SCC-LFP biomarkers within this same DBS/TRD research program -- states in its own mandatory Nature Portfolio Reporting Summary that a formal a priori power calculation for its LFP biomarker outcomes was not feasible.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20"/>
          <w:szCs w:val="20"/>
          <w:color w:val="000000"/>
        </w:rPr>
        <w:t xml:space="preserve">"...this is a first-of-its kind study investigating LFP collected longitudinally during SCC DBS; it was not possible to power the study based on LFP outcomes."</w:t>
      </w:r>
    </w:p>
    <w:p>
      <w:pPr>
        <w:pStyle w:val="Normal"/>
      </w:pPr>
      <w:r>
        <w:t xml:space="preserve">(Nature Portfolio Reporting Summary, Alagapan et al. 2023, "Life sciences study design" &gt; "Sample size" field; quote trimmed to exclude an enrollment-cap/device- availability clause not relevant here -- see Alagapan_grounding_plan_FINAL.md §3 for the full reasoning.) We read this as reflecting the field's current standard for small-n human intracranial recording studies of this kind, where no prior effect-size distribution exists to power against.</w:t>
      </w:r>
    </w:p>
    <w:p>
      <w:pPr>
        <w:pStyle w:val="Titre2"/>
      </w:pPr>
      <w:r>
        <w:t xml:space="preserve">2.7 Testing standard used in this manuscript, compared to Alagapan et al.</w:t>
      </w:r>
    </w:p>
    <w:p>
      <w:pPr>
        <w:pStyle w:val="Normal"/>
      </w:pPr>
      <w:r>
        <w:t xml:space="preserve">Unlike Alagapan et al. (2023), who explicitly adopted one-sided hypothesis testing to accommodate their small sample (stating that two-sided testing at alpha = 0.05 "does not have sufficient power... even when the direction of the change is readily apparent"), this manuscript's primary analyses use two-sided tests at the standard alpha = 0.05 threshold throughout, without relaxation for sample size.</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Minimum detectable effect (MDE), paired within-subject design, tests (a)/(b)</w:t>
      </w:r>
    </w:p>
    <w:tbl xmlns:a="http://schemas.openxmlformats.org/drawingml/2006/main" xmlns:pic="http://schemas.openxmlformats.org/drawingml/2006/picture">
      <w:tblPr>
        <w:tblLayout w:type="fixed"/>
        <w:jc w:val="center"/>
        <w:tblLook w:firstRow="1" w:lastRow="0" w:firstColumn="0" w:lastColumn="0" w:noHBand="0" w:noVBand="1"/>
      </w:tblPr>
      <w:tblGrid>
        <w:gridCol w:w="2670"/>
        <w:gridCol w:w="1747"/>
        <w:gridCol w:w="591"/>
        <w:gridCol w:w="1022"/>
        <w:gridCol w:w="1071"/>
        <w:gridCol w:w="2272"/>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Design</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Alpha</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Power</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MDE (Cohen's dz)</w:t>
            </w:r>
          </w:p>
        </w:tc>
      </w:tr>
      <w:tr>
        <w:trPr>
          <w:trHeight w:val="414"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 DA x RL, task specificity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paired, n=8 (RL)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w:t>
            </w:r>
          </w:p>
        </w:tc>
      </w:tr>
      <w:tr>
        <w:trPr>
          <w:trHeight w:val="414"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 5-HT x UG, task specificity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paired, n=10 (UG)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MDE = smallest true paired effect (Cohen's dz) this design could detect with the stated power at the stated alpha, computed via pwr.t.test(type = "paired"). Collapses each subject's trial-level pre-/post-stimulation data to one paired mean; ignores the additional precision the full trial-level mixed-effects model provides, so treat as a conservative (upper-bound-ish) detection floor, not the mixed model's actual power.</w:t>
            </w:r>
          </w:p>
        </w:tc>
      </w:tr>
    </w:tbl>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Minimum detectable effect, DA x 5-HT interaction on month-6 HDRS, test (c)</w:t>
      </w:r>
    </w:p>
    <w:tbl xmlns:a="http://schemas.openxmlformats.org/drawingml/2006/main" xmlns:pic="http://schemas.openxmlformats.org/drawingml/2006/picture">
      <w:tblPr>
        <w:tblLayout w:type="fixed"/>
        <w:jc w:val="center"/>
        <w:tblLook w:firstRow="1" w:lastRow="0" w:firstColumn="0" w:lastColumn="0" w:noHBand="0" w:noVBand="1"/>
      </w:tblPr>
      <w:tblGrid>
        <w:gridCol w:w="2499"/>
        <w:gridCol w:w="545"/>
        <w:gridCol w:w="533"/>
        <w:gridCol w:w="1022"/>
        <w:gridCol w:w="1071"/>
        <w:gridCol w:w="2223"/>
        <w:gridCol w:w="2110"/>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Correction</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u</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v</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Alpha</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Power</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MDE (Cohen's f2)</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MDE (partial R2)</w:t>
            </w:r>
          </w:p>
        </w:tc>
      </w:tr>
      <w:tr>
        <w:trPr>
          <w:trHeight w:val="378"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Bonferroni-within-3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0.698</w:t>
            </w:r>
          </w:p>
        </w:tc>
      </w:tr>
      <w:tr>
        <w:trPr>
          <w:trHeight w:val="414"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Uncorrected (reference only)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0.586</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u = numerator df (1 interaction term); v = residual df (n=10 - 3 predictors - 1 = 6), confirmed against the actually-fitted model in Section 3 of power_mde_analysis.R. MDE computed via pwr.f2.test(); partial R2 = f2/(1+f2).</w:t>
            </w:r>
          </w:p>
        </w:tc>
      </w:tr>
    </w:tbl>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3a. Observed effect sizes, tests (a)/(b) -- compare against Table 1's MDE</w:t>
      </w:r>
    </w:p>
    <w:tbl xmlns:a="http://schemas.openxmlformats.org/drawingml/2006/main" xmlns:pic="http://schemas.openxmlformats.org/drawingml/2006/picture">
      <w:tblPr>
        <w:tblLayout w:type="fixed"/>
        <w:jc w:val="center"/>
        <w:tblLook w:firstRow="1" w:lastRow="0" w:firstColumn="0" w:lastColumn="0" w:noHBand="0" w:noVBand="1"/>
      </w:tblPr>
      <w:tblGrid>
        <w:gridCol w:w="2670"/>
        <w:gridCol w:w="591"/>
        <w:gridCol w:w="1804"/>
        <w:gridCol w:w="1548"/>
        <w:gridCol w:w="1731"/>
        <w:gridCol w:w="1310"/>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Mean change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SD change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Observed dz</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r>
      <w:tr>
        <w:trPr>
          <w:trHeight w:val="414"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 DA x RL, task specificity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 1.56]</w:t>
            </w:r>
          </w:p>
        </w:tc>
      </w:tr>
      <w:tr>
        <w:trPr>
          <w:trHeight w:val="414"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 5-HT x UG, task specificity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 1.47]</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Observed dz via effectsize::cohens_d() (one-sample, mu = 0, on per-subject pre-/post-stimulation change scores); 95% CI from the noncentral-t distribution.</w:t>
            </w:r>
          </w:p>
        </w:tc>
      </w:tr>
    </w:tbl>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3b. Observed effect size, test (c) interaction term -- compare against Table 2's MDE</w:t>
      </w:r>
    </w:p>
    <w:tbl xmlns:a="http://schemas.openxmlformats.org/drawingml/2006/main" xmlns:pic="http://schemas.openxmlformats.org/drawingml/2006/picture">
      <w:tblPr>
        <w:tblLayout w:type="fixed"/>
        <w:jc w:val="center"/>
        <w:tblLook w:firstRow="1" w:lastRow="0" w:firstColumn="0" w:lastColumn="0" w:noHBand="0" w:noVBand="1"/>
      </w:tblPr>
      <w:tblGrid>
        <w:gridCol w:w="4106"/>
        <w:gridCol w:w="591"/>
        <w:gridCol w:w="1328"/>
        <w:gridCol w:w="816"/>
        <w:gridCol w:w="786"/>
        <w:gridCol w:w="816"/>
        <w:gridCol w:w="2489"/>
        <w:gridCol w:w="1682"/>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Observed partial R2</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Observed f2</w:t>
            </w:r>
          </w:p>
        </w:tc>
      </w:tr>
      <w:tr>
        <w:trPr>
          <w:trHeight w:val="414"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 DA x 5-HT -&gt; month-6 HDRS, 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3.94</w:t>
            </w:r>
          </w:p>
        </w:tc>
      </w:tr>
      <w:tr>
        <w:trPr>
          <w:trHeight w:val="360" w:hRule="auto"/>
        </w:trPr>
        footer1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Estimate/SE/t/p from tidy(model_DAxSE_check), cross-checked against statistical_tests_robust.R's own model_DAxSE (Section 3 of power_mde_analysis.R; this report was generated from a run where that cross-check passed). Observed partial R2/f2 from a nested-model comparison (with vs. without the interaction term), on the same scale as Table 2's MDE.</w:t>
            </w:r>
          </w:p>
        </w:tc>
      </w:tr>
    </w:tbl>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Batten et al. (2024) effect-size grounding, converted to common scales</w:t>
      </w:r>
    </w:p>
    <w:tbl xmlns:a="http://schemas.openxmlformats.org/drawingml/2006/main" xmlns:pic="http://schemas.openxmlformats.org/drawingml/2006/picture">
      <w:tblPr>
        <w:tblLayout w:type="fixed"/>
        <w:jc w:val="center"/>
        <w:tblLook w:firstRow="1" w:lastRow="0" w:firstColumn="0" w:lastColumn="0" w:noHBand="0" w:noVBand="1"/>
      </w:tblPr>
      <w:tblGrid>
        <w:gridCol w:w="4749"/>
        <w:gridCol w:w="1928"/>
        <w:gridCol w:w="1695"/>
        <w:gridCol w:w="1357"/>
        <w:gridCol w:w="816"/>
        <w:gridCol w:w="2171"/>
        <w:gridCol w:w="2122"/>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Native metric</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Native value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Common d scale</w:t>
            </w:r>
          </w:p>
        </w:tc>
        <w:tc>
          <w:tcPr>
            <w:tcBorders>
              <w:bottom w:val="single" w:sz="12" w:space="0" w:color="666666"/>
              <w:top w:val="single" w:sz="12" w:space="0" w:color="666666"/>
              <w:left w:val="none" w:sz="0" w:space="0" w:color="000000"/>
              <w:right w:val="none" w:sz="0" w:space="0" w:color="000000"/>
            </w:tcBorders>
            <w:shd w:val="clear" w:color="auto" w:fill="F0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Common r scale</w:t>
            </w:r>
          </w:p>
        </w:tc>
      </w:tr>
      <w:tr>
        <w:trPr>
          <w:trHeight w:val="414"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Overall DA level, human vs. computer condition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Cohen's d-equivalent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t(454) = 3.04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0.391</w:t>
            </w:r>
          </w:p>
        </w:tc>
      </w:tr>
      <w:tr>
        <w:trPr>
          <w:trHeight w:val="41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Relative DA tracks trial-by-trial value difference (RPE-like)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approx. 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t(426) = 2.82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0.210</w:t>
            </w:r>
          </w:p>
        </w:tc>
      </w:tr>
      <w:tr>
        <w:trPr>
          <w:trHeight w:val="414"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Relative 5-HT tracks current offer 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approx. 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t(426) = 3.15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0.220</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4"/>
                <w:szCs w:val="14"/>
                <w:color w:val="000000"/>
              </w:rPr>
            </w:pPr>
            <w:r>
              <w:rPr>
                <w:rFonts w:ascii="Times New Roman" w:hAnsi="Times New Roman" w:eastAsia="Times New Roman" w:cs="Times New Roman"/>
                <w:i w:val="false"/>
                <w:b w:val="false"/>
                <w:u w:val="none"/>
                <w:strike w:val="false"/>
                <w:sz w:val="14"/>
                <w:szCs w:val="14"/>
                <w:color w:val="000000"/>
              </w:rPr>
              <w:t xml:space="preserve">Batten, S. R. et al. Nat. Hum. Behav. 8, 718-728 (2024); same UG task, same human-electrochemistry method, n = 4 Parkinson's patients x 2 sessions (8 datasets), TRIAL-LEVEL mixed-effects estimates (n = 426-454 trial df). Values transcribed from the published Results section, not re-derived from raw data. Converted via r = d/sqrt(d^2+4) and d = 2r/sqrt(1-r^2) so all three effects are comparable on one scale. NOT power-comparable to Tables 1-2 (subject-level, n = 8-10) -- effect-magnitude context only, per narrative_guidance.md.</w:t>
            </w:r>
          </w:p>
        </w:tc>
      </w:tr>
    </w:tbl>
    <w:p>
      <w:pPr>
        <w:pStyle w:val="Titre1"/>
      </w:pPr>
      <w:r>
        <w:t xml:space="preserve">4. Suggested rebuttal language</w:t>
      </w:r>
    </w:p>
    <w:p>
      <w:pPr>
        <w:pStyle w:val="Normal"/>
      </w:pPr>
      <w:r>
        <w:t xml:space="preserve">Text below is a starting draft, meant to be lightly edited, not pasted blindly. Each paragraph states the MDE, the observed effect, and the honest relationship between them -- do not delete the caveats to make a paragraph sound stronger.</w:t>
      </w:r>
    </w:p>
    <w:p>
      <w:pPr>
        <w:pStyle w:val="Titre2"/>
      </w:pPr>
      <w:r>
        <w:t xml:space="preserve">4.1 Tests (a)/(b): task specificity</w:t>
      </w:r>
    </w:p>
    <w:p>
      <w:pPr>
        <w:pStyle w:val="Normal"/>
      </w:pPr>
      <w:r>
        <w:t xml:space="preserve">"At the realized sample sizes (n = 8 for test a, n = 10 for test b), a subject-level paired comparison could detect standardized effects of dz &gt;= 1.16 and dz &gt;= 1.00, respectively, with 80% power at alpha = .05. The observed effects were dz = 0.78 (95% CI [-0.04, 1.56]) for test (a) and dz = 0.77 (95% CI [0.04, 1.47]) for test (b). [Test a's observed effect falls below this design's 80%-power detection floor, and its CI includes zero / Test b's observed effect, while nominally significant, is likewise below the design's 80%-power detection floor -- edit bracketed clause per actual CI values above.] This is presented as a property of the design, not as evidence the study was powered to detect the effects it happened to find."</w:t>
      </w:r>
    </w:p>
    <w:p>
      <w:pPr>
        <w:pStyle w:val="Titre2"/>
      </w:pPr>
      <w:r>
        <w:t xml:space="preserve">4.2 Test (c): the key interaction</w:t>
      </w:r>
    </w:p>
    <w:p>
      <w:pPr>
        <w:pStyle w:val="Normal"/>
      </w:pPr>
      <w:r>
        <w:t xml:space="preserve">"For the DA x 5-HT interaction predicting month-6 HDRS change (n = 10, v = 6 residual df), this design could detect a partial R2 of at least 0.698 at the Bonferroni-corrected alpha used for this test (.05/3), or 0.586 uncorrected, with 80% power -- a demanding bar reflecting the very limited residual degrees of freedom available. The observed interaction (b = -0.142, SE = 0.029, t = -4.86, p = 0.003) corresponds to a partial R2 of 0.797, which does clear this design's detection floor. We state this plainly rather than treating it as reassuring: an effect of this magnitude is atypically large for a psychological/clinical interaction, and its size should be interpreted with the design's low sensitivity for this test in mind, not as evidence the design was well suited to detect interactions of a priori-plausible size."</w:t>
      </w:r>
    </w:p>
    <w:p>
      <w:pPr>
        <w:pStyle w:val="Titre2"/>
      </w:pPr>
      <w:r>
        <w:t xml:space="preserve">4.3 Empirical grounding for expected effect magnitudes</w:t>
      </w:r>
    </w:p>
    <w:p>
      <w:pPr>
        <w:pStyle w:val="Normal"/>
      </w:pPr>
      <w:r>
        <w:t xml:space="preserve">"In an analogous human intracranial monoamine-recording paradigm using the same task (Batten et al., 2024), standardized effects for task/condition-related dopamine and serotonin signals ranged from ~0.2 (trial-level covariation, on an approximate-r scale) to ~0.85 (categorical condition effect, on a Cohen's-d- equivalent scale), giving the team some empirically grounded expectation of plausible effect magnitudes -- though the SCC/DBS-specific effect size could not be predicted precisely for this new anatomical target and clinical population. This is offered as effect-magnitude context, combined with but not conflated with the design-sensitivity analysis above."</w:t>
      </w:r>
    </w:p>
    <w:p>
      <w:pPr>
        <w:pStyle w:val="Titre2"/>
      </w:pPr>
      <w:r>
        <w:t xml:space="preserve">4.4 Language guardrails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Say: "this design could detect effects of at least X" (a property of n, alpha, and test structure).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say: "the study was powered to detect the effects it found" (retroactive-adequacy framing R5 explicitly rejects).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say the Batten et al. numbers constitute a power calculation for this study -- they are effect-magnitude grounding only, from a different design, target, and population.</w:t>
      </w:r>
    </w:p>
    <w:p>
      <w:pPr>
        <w:pStyle w:val="Titre2"/>
      </w:pPr>
      <w:r>
        <w:t xml:space="preserve">4.4 Alagapan structural precedent for test (c)</w:t>
      </w:r>
    </w:p>
    <w:p>
      <w:pPr>
        <w:pStyle w:val="Normal"/>
      </w:pPr>
      <w:r>
        <w:t xml:space="preserve">"For the DA x 5-HT interaction predicting month-6 HDRS (test c), we note that biomarker-to-clinical-outcome relationships have been established and published in Nature within this same disease population, anatomical target (subcallosal cingulate), and trial infrastructure. Alagapan et al. (2023, Nature) developed an SCC-LFP-derived biomarker that discriminated clinical state (AUC = 0.87 +/- 0.09, n = 5, leave-one- participant-out cross-validation) and predicted weekly HDRS-defined depression state (AUC = 0.94 +/- 0.04, n = 5; AUC = 0.89 +/- 0.07 in a restricted 4-participant subset) -- at comparable or smaller sample sizes than the present study. We offer this as precedent for the feasibility and publishability of small-n, biomarker-to-depression- outcome findings in this exact clinical program, not as a numeric power comparison: a cross-validated classification AUC and a regression interaction term's partial R^2 are not directly interconvertible without assumptions we do not consider defensible to rely on here."</w:t>
      </w:r>
    </w:p>
    <w:p>
      <w:pPr>
        <w:pStyle w:val="Titre2"/>
      </w:pPr>
      <w:r>
        <w:t xml:space="preserve">4.5 Reporting Summary field precedent</w:t>
      </w:r>
    </w:p>
    <w:p>
      <w:pPr>
        <w:pStyle w:val="Normal"/>
      </w:pPr>
      <w:r>
        <w:t xml:space="preserve">"We further note that Alagapan et al. (2023) -- a study of SCC-LFP biomarkers within this same DBS/TRD research program -- states in its own mandatory Nature Portfolio Reporting Summary that '...this is a first-of-its kind study investigating LFP collected longitudinally during SCC DBS; it was not possible to power the study based on LFP outcomes.' We read this as reflecting the field's current standard for small-n human intracranial recording studies of this kind, where no prior effect-size distribution exists to power against -- the situation this study faced as well, and the reason we provide both a design-sensitivity account (§4.2 above) and effect-magnitude precedent from directly comparable prior work (§4.4) as an honest substitute for formal a priori power."</w:t>
      </w:r>
    </w:p>
    <w:p>
      <w:pPr>
        <w:pStyle w:val="Titre2"/>
      </w:pPr>
      <w:r>
        <w:t xml:space="preserve">4.6 Our primary tests were more conservative than Alagapan's</w:t>
      </w:r>
    </w:p>
    <w:p>
      <w:pPr>
        <w:pStyle w:val="Normal"/>
      </w:pPr>
      <w:r>
        <w:t xml:space="preserve">"We note that our primary analyses use two-sided hypothesis tests at the standard alpha = 0.05 threshold throughout (see Methods), without relaxation for small sample size. This is, if anything, a more conservative standard than has been applied in directly comparable prior work in this same research program: Alagapan et al. (2023) explicitly adopted one-sided testing because, in their words, 'the small sample size... does not have sufficient power to test statistical significance at 0.05 in a two-sided test, even when the direction of the change is readily apparent.' We did not take that approach, holding our primary tests to the stricter, unrelaxed two-sided standard despite a comparable sample size."</w:t>
      </w:r>
    </w:p>
    <w:p>
      <w:pPr>
        <w:pStyle w:val="Titre2"/>
      </w:pPr>
      <w:r>
        <w:t xml:space="preserve">4.7 Language guardrails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Say: "this design could detect effects of at least X" (a property of n, alpha, and test structure).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say: "the study was powered to detect the effects it found" (retroactive-adequacy framing R5 explicitly rejects).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say the Batten et al. numbers constitute a power calculation for this study -- they are effect-magnitude grounding only, from a different design, target, and population.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claim Alagapan's AUCs are power-equivalent to Table 2's MDE -- they are structural/feasibility precedent only, on a native, unconverted scale.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Do not quote the Alagapan Reporting Summary's device-availability clause -- it is structurally the same weak justification R5 has already rejected in this manuscript.</w:t>
      </w:r>
    </w:p>
    <w:p>
      <w:pPr>
        <w:pStyle w:val="Titre1"/>
      </w:pPr>
      <w:r>
        <w:t xml:space="preserve">5. Reproducibility</w:t>
      </w:r>
    </w:p>
    <w:p>
      <w:pPr>
        <w:pStyle w:val="Normal"/>
      </w:pPr>
      <w:r>
        <w:t xml:space="preserve">Generated by src/R/generate_power_mde_report.R, which sources src/R/power_mde_analysis.R in full (including its cross-check of the test-(c) interaction model against statistical_tests_robust.R's own model_DAxSE, via stopifnot -- this report cannot be produced from a run where that check fails). Underlying data: data/nt/processed/UG_RL_NT-Continuous_9-23-25.RData; data/clinical/clinical-data_deid_07-10-25.csv. R R version 4.4.3 (2025-02-28 ucrt). Sections 5-7 of power_mde_analysis.R (Alagapan grounding, Reporting Summaryquote, and testing-standard verification) are sourced identically.Report generated 2026-08-20.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2026-08-20T08:52:18Z</dcterms:modified>
  <cp:category/>
</cp:coreProperties>
</file>