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libri" w:hAnsi="Calibri"/>
          <w:b/>
          <w:i w:val="0"/>
          <w:color w:val="595959"/>
          <w:sz w:val="20"/>
        </w:rPr>
        <w:t>INTERNAL REPORT TO THE BOARD</w:t>
      </w:r>
    </w:p>
    <w:p>
      <w:pPr>
        <w:spacing w:before="280" w:after="120"/>
        <w:jc w:val="center"/>
      </w:pPr>
      <w:r>
        <w:rPr>
          <w:rFonts w:ascii="Calibri" w:hAnsi="Calibri"/>
          <w:b/>
          <w:color w:val="1F3A68"/>
          <w:sz w:val="44"/>
        </w:rPr>
        <w:t>Recommended Laptops for Data Science, AI/ML and Analytics Teams</w:t>
      </w:r>
    </w:p>
    <w:p>
      <w:pPr>
        <w:spacing w:after="120"/>
        <w:jc w:val="center"/>
      </w:pPr>
      <w:r>
        <w:rPr>
          <w:rFonts w:ascii="Calibri" w:hAnsi="Calibri"/>
          <w:b w:val="0"/>
          <w:i/>
          <w:color w:val="595959"/>
          <w:sz w:val="22"/>
        </w:rPr>
        <w:t>Procurement proposal for high-performance computing equipment to support secure, fully local AI, machine learning, and advanced analytics workloads across the institution.</w:t>
      </w:r>
    </w:p>
    <w:p>
      <w:pPr>
        <w:spacing w:after="120"/>
        <w:jc w:val="center"/>
      </w:pPr>
      <w:r>
        <w:rPr>
          <w:rFonts w:ascii="Calibri" w:hAnsi="Calibri"/>
          <w:b w:val="0"/>
          <w:i w:val="0"/>
          <w:color w:val="595959"/>
          <w:sz w:val="20"/>
        </w:rPr>
        <w:t>Prepared: April 2026</w:t>
      </w:r>
    </w:p>
    <w:p>
      <w:pPr>
        <w:spacing w:before="280" w:after="120"/>
      </w:pPr>
      <w:r>
        <w:rPr>
          <w:rFonts w:ascii="Calibri" w:hAnsi="Calibri"/>
          <w:b/>
          <w:color w:val="1F3A68"/>
          <w:sz w:val="30"/>
        </w:rPr>
        <w:t>1. Executive Summary</w:t>
      </w:r>
    </w:p>
    <w:p>
      <w:pPr>
        <w:spacing w:after="120"/>
      </w:pPr>
      <w:r>
        <w:rPr>
          <w:rFonts w:ascii="Calibri" w:hAnsi="Calibri"/>
          <w:b w:val="0"/>
          <w:i w:val="0"/>
          <w:color w:val="1A1A1A"/>
          <w:sz w:val="22"/>
        </w:rPr>
        <w:t>This report recommends a fleet of high-performance laptops to equip seven analytical teams with the compute capacity required to run modern AI, machine learning and data analytics workloads on-premises. The recommendations match each team's analytical focus to a specific machine class so that the institution avoids both under-provisioning (which slows critical work) and over-provisioning (which wastes capital).</w:t>
      </w:r>
    </w:p>
    <w:p>
      <w:pPr>
        <w:spacing w:after="120"/>
      </w:pPr>
      <w:r>
        <w:rPr>
          <w:rFonts w:ascii="Calibri" w:hAnsi="Calibri"/>
          <w:b w:val="0"/>
          <w:i w:val="0"/>
          <w:color w:val="1A1A1A"/>
          <w:sz w:val="22"/>
        </w:rPr>
        <w:t>A total of 41 laptops are required across the seven teams. The proposal favours NVIDIA RTX-class machines for teams that train models locally, Apple Silicon devices for memory-heavy prototyping and large language model inference, and balanced premium ultrabooks for teams whose workloads are dominated by data preparation, reporting and policy analysis.</w:t>
      </w:r>
    </w:p>
    <w:p>
      <w:pPr>
        <w:spacing w:before="280" w:after="120"/>
      </w:pPr>
      <w:r>
        <w:rPr>
          <w:rFonts w:ascii="Calibri" w:hAnsi="Calibri"/>
          <w:b/>
          <w:color w:val="1F3A68"/>
          <w:sz w:val="30"/>
        </w:rPr>
        <w:t>2. Background and Objectives</w:t>
      </w:r>
    </w:p>
    <w:p>
      <w:pPr>
        <w:spacing w:after="120"/>
      </w:pPr>
      <w:r>
        <w:rPr>
          <w:rFonts w:ascii="Calibri" w:hAnsi="Calibri"/>
          <w:b w:val="0"/>
          <w:i w:val="0"/>
          <w:color w:val="1A1A1A"/>
          <w:sz w:val="22"/>
        </w:rPr>
        <w:t>The objective is to acquire high-performance laptops capable of supporting secure, fully local artificial intelligence, machine learning, and data science workloads within the institution. These systems will enable:</w:t>
      </w:r>
    </w:p>
    <w:p>
      <w:pPr>
        <w:pStyle w:val="ListBullet"/>
        <w:spacing w:after="60"/>
      </w:pPr>
      <w:r>
        <w:rPr>
          <w:rFonts w:ascii="Calibri" w:hAnsi="Calibri"/>
          <w:sz w:val="22"/>
        </w:rPr>
        <w:t>Large-scale tax data analytics and anomaly detection.</w:t>
      </w:r>
    </w:p>
    <w:p>
      <w:pPr>
        <w:pStyle w:val="ListBullet"/>
        <w:spacing w:after="60"/>
      </w:pPr>
      <w:r>
        <w:rPr>
          <w:rFonts w:ascii="Calibri" w:hAnsi="Calibri"/>
          <w:sz w:val="22"/>
        </w:rPr>
        <w:t>Advanced natural language processing tasks, including large language model (LLM) fine-tuning and inference.</w:t>
      </w:r>
    </w:p>
    <w:p>
      <w:pPr>
        <w:pStyle w:val="ListBullet"/>
        <w:spacing w:after="60"/>
      </w:pPr>
      <w:r>
        <w:rPr>
          <w:rFonts w:ascii="Calibri" w:hAnsi="Calibri"/>
          <w:sz w:val="22"/>
        </w:rPr>
        <w:t>Computer vision applications such as OCR, electronic billing machine (EBM) invoice analysis, and fraud detection.</w:t>
      </w:r>
    </w:p>
    <w:p>
      <w:pPr>
        <w:pStyle w:val="ListBullet"/>
        <w:spacing w:after="60"/>
      </w:pPr>
      <w:r>
        <w:rPr>
          <w:rFonts w:ascii="Calibri" w:hAnsi="Calibri"/>
          <w:sz w:val="22"/>
        </w:rPr>
        <w:t>Multimodal AI systems incorporating retrieval-augmented generation (RAG) over complex document collections containing structured schemas, diagrams, and tables.</w:t>
      </w:r>
    </w:p>
    <w:p>
      <w:pPr>
        <w:pStyle w:val="ListBullet"/>
        <w:spacing w:after="60"/>
      </w:pPr>
      <w:r>
        <w:rPr>
          <w:rFonts w:ascii="Calibri" w:hAnsi="Calibri"/>
          <w:sz w:val="22"/>
        </w:rPr>
        <w:t>Intelligent chatbots and other AI-driven institutional tools built on locally-hosted LLMs and multimodal models.</w:t>
      </w:r>
    </w:p>
    <w:p>
      <w:pPr>
        <w:spacing w:after="120"/>
      </w:pPr>
      <w:r>
        <w:rPr>
          <w:rFonts w:ascii="Calibri" w:hAnsi="Calibri"/>
          <w:b w:val="0"/>
          <w:i w:val="0"/>
          <w:color w:val="1A1A1A"/>
          <w:sz w:val="22"/>
        </w:rPr>
        <w:t>By processing all data locally, this approach guarantees full data privacy, eliminates reliance on external cloud GPU services, and provides a scalable foundation for multiple teams and the future expansion of AI capabilities.</w:t>
      </w:r>
    </w:p>
    <w:p>
      <w:pPr>
        <w:spacing w:before="280" w:after="120"/>
      </w:pPr>
      <w:r>
        <w:rPr>
          <w:rFonts w:ascii="Calibri" w:hAnsi="Calibri"/>
          <w:b/>
          <w:color w:val="1F3A68"/>
          <w:sz w:val="30"/>
        </w:rPr>
        <w:t>3. Team Compute Demand Overview</w:t>
      </w:r>
    </w:p>
    <w:p>
      <w:pPr>
        <w:spacing w:after="120"/>
      </w:pPr>
      <w:r>
        <w:rPr>
          <w:rFonts w:ascii="Calibri" w:hAnsi="Calibri"/>
          <w:b w:val="0"/>
          <w:i w:val="0"/>
          <w:color w:val="1A1A1A"/>
          <w:sz w:val="22"/>
        </w:rPr>
        <w:t>The table below summarises each team, its analytical focus, and the number of machines required. Compute intensity is classified as High (sustained local model training and large-model inference), Medium (regular GPU experimentation, heavy data engineering or simulation), or Standard (analytics, reporting and lighter modelling).</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567"/>
            <w:shd w:val="clear" w:color="auto" w:fill="1F3A68"/>
            <w:tcBorders>
              <w:top w:val="single" w:sz="6" w:color="1F3A68"/>
              <w:left w:val="single" w:sz="6" w:color="1F3A68"/>
              <w:bottom w:val="single" w:sz="6" w:color="1F3A68"/>
              <w:right w:val="single" w:sz="6" w:color="1F3A68"/>
            </w:tcBorders>
            <w:vAlign w:val="center"/>
          </w:tcPr>
          <w:p>
            <w:pPr>
              <w:jc w:val="left"/>
            </w:pPr>
            <w:r/>
            <w:r>
              <w:rPr>
                <w:rFonts w:ascii="Calibri" w:hAnsi="Calibri"/>
                <w:b/>
                <w:color w:val="FFFFFF"/>
                <w:sz w:val="21"/>
              </w:rPr>
              <w:t>No.</w:t>
            </w:r>
          </w:p>
        </w:tc>
        <w:tc>
          <w:tcPr>
            <w:tcW w:type="dxa" w:w="2551"/>
            <w:shd w:val="clear" w:color="auto" w:fill="1F3A68"/>
            <w:tcBorders>
              <w:top w:val="single" w:sz="6" w:color="1F3A68"/>
              <w:left w:val="single" w:sz="6" w:color="1F3A68"/>
              <w:bottom w:val="single" w:sz="6" w:color="1F3A68"/>
              <w:right w:val="single" w:sz="6" w:color="1F3A68"/>
            </w:tcBorders>
            <w:vAlign w:val="center"/>
          </w:tcPr>
          <w:p>
            <w:pPr>
              <w:jc w:val="left"/>
            </w:pPr>
            <w:r/>
            <w:r>
              <w:rPr>
                <w:rFonts w:ascii="Calibri" w:hAnsi="Calibri"/>
                <w:b/>
                <w:color w:val="FFFFFF"/>
                <w:sz w:val="21"/>
              </w:rPr>
              <w:t>Team / Unit</w:t>
            </w:r>
          </w:p>
        </w:tc>
        <w:tc>
          <w:tcPr>
            <w:tcW w:type="dxa" w:w="3685"/>
            <w:shd w:val="clear" w:color="auto" w:fill="1F3A68"/>
            <w:tcBorders>
              <w:top w:val="single" w:sz="6" w:color="1F3A68"/>
              <w:left w:val="single" w:sz="6" w:color="1F3A68"/>
              <w:bottom w:val="single" w:sz="6" w:color="1F3A68"/>
              <w:right w:val="single" w:sz="6" w:color="1F3A68"/>
            </w:tcBorders>
            <w:vAlign w:val="center"/>
          </w:tcPr>
          <w:p>
            <w:pPr>
              <w:jc w:val="left"/>
            </w:pPr>
            <w:r/>
            <w:r>
              <w:rPr>
                <w:rFonts w:ascii="Calibri" w:hAnsi="Calibri"/>
                <w:b/>
                <w:color w:val="FFFFFF"/>
                <w:sz w:val="21"/>
              </w:rPr>
              <w:t>Core Analytical Focus</w:t>
            </w:r>
          </w:p>
        </w:tc>
        <w:tc>
          <w:tcPr>
            <w:tcW w:type="dxa" w:w="907"/>
            <w:shd w:val="clear" w:color="auto" w:fill="1F3A68"/>
            <w:tcBorders>
              <w:top w:val="single" w:sz="6" w:color="1F3A68"/>
              <w:left w:val="single" w:sz="6" w:color="1F3A68"/>
              <w:bottom w:val="single" w:sz="6" w:color="1F3A68"/>
              <w:right w:val="single" w:sz="6" w:color="1F3A68"/>
            </w:tcBorders>
            <w:vAlign w:val="center"/>
          </w:tcPr>
          <w:p>
            <w:pPr>
              <w:jc w:val="left"/>
            </w:pPr>
            <w:r/>
            <w:r>
              <w:rPr>
                <w:rFonts w:ascii="Calibri" w:hAnsi="Calibri"/>
                <w:b/>
                <w:color w:val="FFFFFF"/>
                <w:sz w:val="21"/>
              </w:rPr>
              <w:t>Units</w:t>
            </w:r>
          </w:p>
        </w:tc>
        <w:tc>
          <w:tcPr>
            <w:tcW w:type="dxa" w:w="1814"/>
            <w:shd w:val="clear" w:color="auto" w:fill="1F3A68"/>
            <w:tcBorders>
              <w:top w:val="single" w:sz="6" w:color="1F3A68"/>
              <w:left w:val="single" w:sz="6" w:color="1F3A68"/>
              <w:bottom w:val="single" w:sz="6" w:color="1F3A68"/>
              <w:right w:val="single" w:sz="6" w:color="1F3A68"/>
            </w:tcBorders>
            <w:vAlign w:val="center"/>
          </w:tcPr>
          <w:p>
            <w:pPr>
              <w:jc w:val="left"/>
            </w:pPr>
            <w:r/>
            <w:r>
              <w:rPr>
                <w:rFonts w:ascii="Calibri" w:hAnsi="Calibri"/>
                <w:b/>
                <w:color w:val="FFFFFF"/>
                <w:sz w:val="21"/>
              </w:rPr>
              <w:t>Compute Intensity</w:t>
            </w:r>
          </w:p>
        </w:tc>
      </w:tr>
      <w:tr>
        <w:tc>
          <w:tcPr>
            <w:tcW w:type="dxa" w:w="567"/>
            <w:vAlign w:val="center"/>
            <w:tcBorders>
              <w:top w:val="single" w:sz="6" w:color="BFBFBF"/>
              <w:left w:val="single" w:sz="6" w:color="BFBFBF"/>
              <w:bottom w:val="single" w:sz="6" w:color="BFBFBF"/>
              <w:right w:val="single" w:sz="6" w:color="BFBFBF"/>
            </w:tcBorders>
          </w:tcPr>
          <w:p>
            <w:r/>
            <w:r>
              <w:rPr>
                <w:rFonts w:ascii="Calibri" w:hAnsi="Calibri"/>
                <w:sz w:val="20"/>
              </w:rPr>
              <w:t>1</w:t>
            </w:r>
          </w:p>
        </w:tc>
        <w:tc>
          <w:tcPr>
            <w:tcW w:type="dxa" w:w="2551"/>
            <w:vAlign w:val="center"/>
            <w:tcBorders>
              <w:top w:val="single" w:sz="6" w:color="BFBFBF"/>
              <w:left w:val="single" w:sz="6" w:color="BFBFBF"/>
              <w:bottom w:val="single" w:sz="6" w:color="BFBFBF"/>
              <w:right w:val="single" w:sz="6" w:color="BFBFBF"/>
            </w:tcBorders>
          </w:tcPr>
          <w:p>
            <w:r/>
            <w:r>
              <w:rPr>
                <w:rFonts w:ascii="Calibri" w:hAnsi="Calibri"/>
                <w:sz w:val="20"/>
              </w:rPr>
              <w:t>Data Science</w:t>
            </w:r>
          </w:p>
        </w:tc>
        <w:tc>
          <w:tcPr>
            <w:tcW w:type="dxa" w:w="3685"/>
            <w:vAlign w:val="center"/>
            <w:tcBorders>
              <w:top w:val="single" w:sz="6" w:color="BFBFBF"/>
              <w:left w:val="single" w:sz="6" w:color="BFBFBF"/>
              <w:bottom w:val="single" w:sz="6" w:color="BFBFBF"/>
              <w:right w:val="single" w:sz="6" w:color="BFBFBF"/>
            </w:tcBorders>
          </w:tcPr>
          <w:p>
            <w:r/>
            <w:r>
              <w:rPr>
                <w:rFonts w:ascii="Calibri" w:hAnsi="Calibri"/>
                <w:sz w:val="20"/>
              </w:rPr>
              <w:t>AI/ML models, big data analytics, automation</w:t>
            </w:r>
          </w:p>
        </w:tc>
        <w:tc>
          <w:tcPr>
            <w:tcW w:type="dxa" w:w="907"/>
            <w:vAlign w:val="center"/>
            <w:tcBorders>
              <w:top w:val="single" w:sz="6" w:color="BFBFBF"/>
              <w:left w:val="single" w:sz="6" w:color="BFBFBF"/>
              <w:bottom w:val="single" w:sz="6" w:color="BFBFBF"/>
              <w:right w:val="single" w:sz="6" w:color="BFBFBF"/>
            </w:tcBorders>
          </w:tcPr>
          <w:p>
            <w:r/>
            <w:r>
              <w:rPr>
                <w:rFonts w:ascii="Calibri" w:hAnsi="Calibri"/>
                <w:sz w:val="20"/>
              </w:rPr>
              <w:t>11</w:t>
            </w:r>
          </w:p>
        </w:tc>
        <w:tc>
          <w:tcPr>
            <w:tcW w:type="dxa" w:w="1814"/>
            <w:vAlign w:val="center"/>
            <w:tcBorders>
              <w:top w:val="single" w:sz="6" w:color="BFBFBF"/>
              <w:left w:val="single" w:sz="6" w:color="BFBFBF"/>
              <w:bottom w:val="single" w:sz="6" w:color="BFBFBF"/>
              <w:right w:val="single" w:sz="6" w:color="BFBFBF"/>
            </w:tcBorders>
          </w:tcPr>
          <w:p>
            <w:r/>
            <w:r>
              <w:rPr>
                <w:rFonts w:ascii="Calibri" w:hAnsi="Calibri"/>
                <w:sz w:val="20"/>
              </w:rPr>
              <w:t>High</w:t>
            </w:r>
          </w:p>
        </w:tc>
      </w:tr>
      <w:tr>
        <w:tc>
          <w:tcPr>
            <w:tcW w:type="dxa" w:w="567"/>
            <w:vAlign w:val="center"/>
            <w:shd w:val="clear" w:color="auto" w:fill="F2F5FA"/>
            <w:tcBorders>
              <w:top w:val="single" w:sz="6" w:color="BFBFBF"/>
              <w:left w:val="single" w:sz="6" w:color="BFBFBF"/>
              <w:bottom w:val="single" w:sz="6" w:color="BFBFBF"/>
              <w:right w:val="single" w:sz="6" w:color="BFBFBF"/>
            </w:tcBorders>
          </w:tcPr>
          <w:p>
            <w:r/>
            <w:r>
              <w:rPr>
                <w:rFonts w:ascii="Calibri" w:hAnsi="Calibri"/>
                <w:sz w:val="20"/>
              </w:rPr>
              <w:t>2</w:t>
            </w:r>
          </w:p>
        </w:tc>
        <w:tc>
          <w:tcPr>
            <w:tcW w:type="dxa" w:w="2551"/>
            <w:vAlign w:val="center"/>
            <w:shd w:val="clear" w:color="auto" w:fill="F2F5FA"/>
            <w:tcBorders>
              <w:top w:val="single" w:sz="6" w:color="BFBFBF"/>
              <w:left w:val="single" w:sz="6" w:color="BFBFBF"/>
              <w:bottom w:val="single" w:sz="6" w:color="BFBFBF"/>
              <w:right w:val="single" w:sz="6" w:color="BFBFBF"/>
            </w:tcBorders>
          </w:tcPr>
          <w:p>
            <w:r/>
            <w:r>
              <w:rPr>
                <w:rFonts w:ascii="Calibri" w:hAnsi="Calibri"/>
                <w:sz w:val="20"/>
              </w:rPr>
              <w:t>Revenue Modeling and Statistics</w:t>
            </w:r>
          </w:p>
        </w:tc>
        <w:tc>
          <w:tcPr>
            <w:tcW w:type="dxa" w:w="3685"/>
            <w:vAlign w:val="center"/>
            <w:shd w:val="clear" w:color="auto" w:fill="F2F5FA"/>
            <w:tcBorders>
              <w:top w:val="single" w:sz="6" w:color="BFBFBF"/>
              <w:left w:val="single" w:sz="6" w:color="BFBFBF"/>
              <w:bottom w:val="single" w:sz="6" w:color="BFBFBF"/>
              <w:right w:val="single" w:sz="6" w:color="BFBFBF"/>
            </w:tcBorders>
          </w:tcPr>
          <w:p>
            <w:r/>
            <w:r>
              <w:rPr>
                <w:rFonts w:ascii="Calibri" w:hAnsi="Calibri"/>
                <w:sz w:val="20"/>
              </w:rPr>
              <w:t>Econometric modeling, microsimulation, tax analysis</w:t>
            </w:r>
          </w:p>
        </w:tc>
        <w:tc>
          <w:tcPr>
            <w:tcW w:type="dxa" w:w="907"/>
            <w:vAlign w:val="center"/>
            <w:shd w:val="clear" w:color="auto" w:fill="F2F5FA"/>
            <w:tcBorders>
              <w:top w:val="single" w:sz="6" w:color="BFBFBF"/>
              <w:left w:val="single" w:sz="6" w:color="BFBFBF"/>
              <w:bottom w:val="single" w:sz="6" w:color="BFBFBF"/>
              <w:right w:val="single" w:sz="6" w:color="BFBFBF"/>
            </w:tcBorders>
          </w:tcPr>
          <w:p>
            <w:r/>
            <w:r>
              <w:rPr>
                <w:rFonts w:ascii="Calibri" w:hAnsi="Calibri"/>
                <w:sz w:val="20"/>
              </w:rPr>
              <w:t>6</w:t>
            </w:r>
          </w:p>
        </w:tc>
        <w:tc>
          <w:tcPr>
            <w:tcW w:type="dxa" w:w="1814"/>
            <w:vAlign w:val="center"/>
            <w:shd w:val="clear" w:color="auto" w:fill="F2F5FA"/>
            <w:tcBorders>
              <w:top w:val="single" w:sz="6" w:color="BFBFBF"/>
              <w:left w:val="single" w:sz="6" w:color="BFBFBF"/>
              <w:bottom w:val="single" w:sz="6" w:color="BFBFBF"/>
              <w:right w:val="single" w:sz="6" w:color="BFBFBF"/>
            </w:tcBorders>
          </w:tcPr>
          <w:p>
            <w:r/>
            <w:r>
              <w:rPr>
                <w:rFonts w:ascii="Calibri" w:hAnsi="Calibri"/>
                <w:sz w:val="20"/>
              </w:rPr>
              <w:t>Medium</w:t>
            </w:r>
          </w:p>
        </w:tc>
      </w:tr>
      <w:tr>
        <w:tc>
          <w:tcPr>
            <w:tcW w:type="dxa" w:w="567"/>
            <w:vAlign w:val="center"/>
            <w:tcBorders>
              <w:top w:val="single" w:sz="6" w:color="BFBFBF"/>
              <w:left w:val="single" w:sz="6" w:color="BFBFBF"/>
              <w:bottom w:val="single" w:sz="6" w:color="BFBFBF"/>
              <w:right w:val="single" w:sz="6" w:color="BFBFBF"/>
            </w:tcBorders>
          </w:tcPr>
          <w:p>
            <w:r/>
            <w:r>
              <w:rPr>
                <w:rFonts w:ascii="Calibri" w:hAnsi="Calibri"/>
                <w:sz w:val="20"/>
              </w:rPr>
              <w:t>3</w:t>
            </w:r>
          </w:p>
        </w:tc>
        <w:tc>
          <w:tcPr>
            <w:tcW w:type="dxa" w:w="2551"/>
            <w:vAlign w:val="center"/>
            <w:tcBorders>
              <w:top w:val="single" w:sz="6" w:color="BFBFBF"/>
              <w:left w:val="single" w:sz="6" w:color="BFBFBF"/>
              <w:bottom w:val="single" w:sz="6" w:color="BFBFBF"/>
              <w:right w:val="single" w:sz="6" w:color="BFBFBF"/>
            </w:tcBorders>
          </w:tcPr>
          <w:p>
            <w:r/>
            <w:r>
              <w:rPr>
                <w:rFonts w:ascii="Calibri" w:hAnsi="Calibri"/>
                <w:sz w:val="20"/>
              </w:rPr>
              <w:t>Tax Analysis &amp; Revenue Forecasting</w:t>
            </w:r>
          </w:p>
        </w:tc>
        <w:tc>
          <w:tcPr>
            <w:tcW w:type="dxa" w:w="3685"/>
            <w:vAlign w:val="center"/>
            <w:tcBorders>
              <w:top w:val="single" w:sz="6" w:color="BFBFBF"/>
              <w:left w:val="single" w:sz="6" w:color="BFBFBF"/>
              <w:bottom w:val="single" w:sz="6" w:color="BFBFBF"/>
              <w:right w:val="single" w:sz="6" w:color="BFBFBF"/>
            </w:tcBorders>
          </w:tcPr>
          <w:p>
            <w:r/>
            <w:r>
              <w:rPr>
                <w:rFonts w:ascii="Calibri" w:hAnsi="Calibri"/>
                <w:sz w:val="20"/>
              </w:rPr>
              <w:t>Time-series forecasting, scenario analysis</w:t>
            </w:r>
          </w:p>
        </w:tc>
        <w:tc>
          <w:tcPr>
            <w:tcW w:type="dxa" w:w="907"/>
            <w:vAlign w:val="center"/>
            <w:tcBorders>
              <w:top w:val="single" w:sz="6" w:color="BFBFBF"/>
              <w:left w:val="single" w:sz="6" w:color="BFBFBF"/>
              <w:bottom w:val="single" w:sz="6" w:color="BFBFBF"/>
              <w:right w:val="single" w:sz="6" w:color="BFBFBF"/>
            </w:tcBorders>
          </w:tcPr>
          <w:p>
            <w:r/>
            <w:r>
              <w:rPr>
                <w:rFonts w:ascii="Calibri" w:hAnsi="Calibri"/>
                <w:sz w:val="20"/>
              </w:rPr>
              <w:t>4</w:t>
            </w:r>
          </w:p>
        </w:tc>
        <w:tc>
          <w:tcPr>
            <w:tcW w:type="dxa" w:w="1814"/>
            <w:vAlign w:val="center"/>
            <w:tcBorders>
              <w:top w:val="single" w:sz="6" w:color="BFBFBF"/>
              <w:left w:val="single" w:sz="6" w:color="BFBFBF"/>
              <w:bottom w:val="single" w:sz="6" w:color="BFBFBF"/>
              <w:right w:val="single" w:sz="6" w:color="BFBFBF"/>
            </w:tcBorders>
          </w:tcPr>
          <w:p>
            <w:r/>
            <w:r>
              <w:rPr>
                <w:rFonts w:ascii="Calibri" w:hAnsi="Calibri"/>
                <w:sz w:val="20"/>
              </w:rPr>
              <w:t>Medium</w:t>
            </w:r>
          </w:p>
        </w:tc>
      </w:tr>
      <w:tr>
        <w:tc>
          <w:tcPr>
            <w:tcW w:type="dxa" w:w="567"/>
            <w:vAlign w:val="center"/>
            <w:shd w:val="clear" w:color="auto" w:fill="F2F5FA"/>
            <w:tcBorders>
              <w:top w:val="single" w:sz="6" w:color="BFBFBF"/>
              <w:left w:val="single" w:sz="6" w:color="BFBFBF"/>
              <w:bottom w:val="single" w:sz="6" w:color="BFBFBF"/>
              <w:right w:val="single" w:sz="6" w:color="BFBFBF"/>
            </w:tcBorders>
          </w:tcPr>
          <w:p>
            <w:r/>
            <w:r>
              <w:rPr>
                <w:rFonts w:ascii="Calibri" w:hAnsi="Calibri"/>
                <w:sz w:val="20"/>
              </w:rPr>
              <w:t>4</w:t>
            </w:r>
          </w:p>
        </w:tc>
        <w:tc>
          <w:tcPr>
            <w:tcW w:type="dxa" w:w="2551"/>
            <w:vAlign w:val="center"/>
            <w:shd w:val="clear" w:color="auto" w:fill="F2F5FA"/>
            <w:tcBorders>
              <w:top w:val="single" w:sz="6" w:color="BFBFBF"/>
              <w:left w:val="single" w:sz="6" w:color="BFBFBF"/>
              <w:bottom w:val="single" w:sz="6" w:color="BFBFBF"/>
              <w:right w:val="single" w:sz="6" w:color="BFBFBF"/>
            </w:tcBorders>
          </w:tcPr>
          <w:p>
            <w:r/>
            <w:r>
              <w:rPr>
                <w:rFonts w:ascii="Calibri" w:hAnsi="Calibri"/>
                <w:sz w:val="20"/>
              </w:rPr>
              <w:t>Data Governance</w:t>
            </w:r>
          </w:p>
        </w:tc>
        <w:tc>
          <w:tcPr>
            <w:tcW w:type="dxa" w:w="3685"/>
            <w:vAlign w:val="center"/>
            <w:shd w:val="clear" w:color="auto" w:fill="F2F5FA"/>
            <w:tcBorders>
              <w:top w:val="single" w:sz="6" w:color="BFBFBF"/>
              <w:left w:val="single" w:sz="6" w:color="BFBFBF"/>
              <w:bottom w:val="single" w:sz="6" w:color="BFBFBF"/>
              <w:right w:val="single" w:sz="6" w:color="BFBFBF"/>
            </w:tcBorders>
          </w:tcPr>
          <w:p>
            <w:r/>
            <w:r>
              <w:rPr>
                <w:rFonts w:ascii="Calibri" w:hAnsi="Calibri"/>
                <w:sz w:val="20"/>
              </w:rPr>
              <w:t>Data quality, metadata management, system integration</w:t>
            </w:r>
          </w:p>
        </w:tc>
        <w:tc>
          <w:tcPr>
            <w:tcW w:type="dxa" w:w="907"/>
            <w:vAlign w:val="center"/>
            <w:shd w:val="clear" w:color="auto" w:fill="F2F5FA"/>
            <w:tcBorders>
              <w:top w:val="single" w:sz="6" w:color="BFBFBF"/>
              <w:left w:val="single" w:sz="6" w:color="BFBFBF"/>
              <w:bottom w:val="single" w:sz="6" w:color="BFBFBF"/>
              <w:right w:val="single" w:sz="6" w:color="BFBFBF"/>
            </w:tcBorders>
          </w:tcPr>
          <w:p>
            <w:r/>
            <w:r>
              <w:rPr>
                <w:rFonts w:ascii="Calibri" w:hAnsi="Calibri"/>
                <w:sz w:val="20"/>
              </w:rPr>
              <w:t>4</w:t>
            </w:r>
          </w:p>
        </w:tc>
        <w:tc>
          <w:tcPr>
            <w:tcW w:type="dxa" w:w="1814"/>
            <w:vAlign w:val="center"/>
            <w:shd w:val="clear" w:color="auto" w:fill="F2F5FA"/>
            <w:tcBorders>
              <w:top w:val="single" w:sz="6" w:color="BFBFBF"/>
              <w:left w:val="single" w:sz="6" w:color="BFBFBF"/>
              <w:bottom w:val="single" w:sz="6" w:color="BFBFBF"/>
              <w:right w:val="single" w:sz="6" w:color="BFBFBF"/>
            </w:tcBorders>
          </w:tcPr>
          <w:p>
            <w:r/>
            <w:r>
              <w:rPr>
                <w:rFonts w:ascii="Calibri" w:hAnsi="Calibri"/>
                <w:sz w:val="20"/>
              </w:rPr>
              <w:t>Standard</w:t>
            </w:r>
          </w:p>
        </w:tc>
      </w:tr>
      <w:tr>
        <w:tc>
          <w:tcPr>
            <w:tcW w:type="dxa" w:w="567"/>
            <w:vAlign w:val="center"/>
            <w:tcBorders>
              <w:top w:val="single" w:sz="6" w:color="BFBFBF"/>
              <w:left w:val="single" w:sz="6" w:color="BFBFBF"/>
              <w:bottom w:val="single" w:sz="6" w:color="BFBFBF"/>
              <w:right w:val="single" w:sz="6" w:color="BFBFBF"/>
            </w:tcBorders>
          </w:tcPr>
          <w:p>
            <w:r/>
            <w:r>
              <w:rPr>
                <w:rFonts w:ascii="Calibri" w:hAnsi="Calibri"/>
                <w:sz w:val="20"/>
              </w:rPr>
              <w:t>5</w:t>
            </w:r>
          </w:p>
        </w:tc>
        <w:tc>
          <w:tcPr>
            <w:tcW w:type="dxa" w:w="2551"/>
            <w:vAlign w:val="center"/>
            <w:tcBorders>
              <w:top w:val="single" w:sz="6" w:color="BFBFBF"/>
              <w:left w:val="single" w:sz="6" w:color="BFBFBF"/>
              <w:bottom w:val="single" w:sz="6" w:color="BFBFBF"/>
              <w:right w:val="single" w:sz="6" w:color="BFBFBF"/>
            </w:tcBorders>
          </w:tcPr>
          <w:p>
            <w:r/>
            <w:r>
              <w:rPr>
                <w:rFonts w:ascii="Calibri" w:hAnsi="Calibri"/>
                <w:sz w:val="20"/>
              </w:rPr>
              <w:t>Research and Policy Analysis</w:t>
            </w:r>
          </w:p>
        </w:tc>
        <w:tc>
          <w:tcPr>
            <w:tcW w:type="dxa" w:w="3685"/>
            <w:vAlign w:val="center"/>
            <w:tcBorders>
              <w:top w:val="single" w:sz="6" w:color="BFBFBF"/>
              <w:left w:val="single" w:sz="6" w:color="BFBFBF"/>
              <w:bottom w:val="single" w:sz="6" w:color="BFBFBF"/>
              <w:right w:val="single" w:sz="6" w:color="BFBFBF"/>
            </w:tcBorders>
          </w:tcPr>
          <w:p>
            <w:r/>
            <w:r>
              <w:rPr>
                <w:rFonts w:ascii="Calibri" w:hAnsi="Calibri"/>
                <w:sz w:val="20"/>
              </w:rPr>
              <w:t>Impact evaluation, policy simulations, analytical research</w:t>
            </w:r>
          </w:p>
        </w:tc>
        <w:tc>
          <w:tcPr>
            <w:tcW w:type="dxa" w:w="907"/>
            <w:vAlign w:val="center"/>
            <w:tcBorders>
              <w:top w:val="single" w:sz="6" w:color="BFBFBF"/>
              <w:left w:val="single" w:sz="6" w:color="BFBFBF"/>
              <w:bottom w:val="single" w:sz="6" w:color="BFBFBF"/>
              <w:right w:val="single" w:sz="6" w:color="BFBFBF"/>
            </w:tcBorders>
          </w:tcPr>
          <w:p>
            <w:r/>
            <w:r>
              <w:rPr>
                <w:rFonts w:ascii="Calibri" w:hAnsi="Calibri"/>
                <w:sz w:val="20"/>
              </w:rPr>
              <w:t>8</w:t>
            </w:r>
          </w:p>
        </w:tc>
        <w:tc>
          <w:tcPr>
            <w:tcW w:type="dxa" w:w="1814"/>
            <w:vAlign w:val="center"/>
            <w:tcBorders>
              <w:top w:val="single" w:sz="6" w:color="BFBFBF"/>
              <w:left w:val="single" w:sz="6" w:color="BFBFBF"/>
              <w:bottom w:val="single" w:sz="6" w:color="BFBFBF"/>
              <w:right w:val="single" w:sz="6" w:color="BFBFBF"/>
            </w:tcBorders>
          </w:tcPr>
          <w:p>
            <w:r/>
            <w:r>
              <w:rPr>
                <w:rFonts w:ascii="Calibri" w:hAnsi="Calibri"/>
                <w:sz w:val="20"/>
              </w:rPr>
              <w:t>Medium</w:t>
            </w:r>
          </w:p>
        </w:tc>
      </w:tr>
      <w:tr>
        <w:tc>
          <w:tcPr>
            <w:tcW w:type="dxa" w:w="567"/>
            <w:vAlign w:val="center"/>
            <w:shd w:val="clear" w:color="auto" w:fill="F2F5FA"/>
            <w:tcBorders>
              <w:top w:val="single" w:sz="6" w:color="BFBFBF"/>
              <w:left w:val="single" w:sz="6" w:color="BFBFBF"/>
              <w:bottom w:val="single" w:sz="6" w:color="BFBFBF"/>
              <w:right w:val="single" w:sz="6" w:color="BFBFBF"/>
            </w:tcBorders>
          </w:tcPr>
          <w:p>
            <w:r/>
            <w:r>
              <w:rPr>
                <w:rFonts w:ascii="Calibri" w:hAnsi="Calibri"/>
                <w:sz w:val="20"/>
              </w:rPr>
              <w:t>6</w:t>
            </w:r>
          </w:p>
        </w:tc>
        <w:tc>
          <w:tcPr>
            <w:tcW w:type="dxa" w:w="2551"/>
            <w:vAlign w:val="center"/>
            <w:shd w:val="clear" w:color="auto" w:fill="F2F5FA"/>
            <w:tcBorders>
              <w:top w:val="single" w:sz="6" w:color="BFBFBF"/>
              <w:left w:val="single" w:sz="6" w:color="BFBFBF"/>
              <w:bottom w:val="single" w:sz="6" w:color="BFBFBF"/>
              <w:right w:val="single" w:sz="6" w:color="BFBFBF"/>
            </w:tcBorders>
          </w:tcPr>
          <w:p>
            <w:r/>
            <w:r>
              <w:rPr>
                <w:rFonts w:ascii="Calibri" w:hAnsi="Calibri"/>
                <w:sz w:val="20"/>
              </w:rPr>
              <w:t>EBM Data Analysis</w:t>
            </w:r>
          </w:p>
        </w:tc>
        <w:tc>
          <w:tcPr>
            <w:tcW w:type="dxa" w:w="3685"/>
            <w:vAlign w:val="center"/>
            <w:shd w:val="clear" w:color="auto" w:fill="F2F5FA"/>
            <w:tcBorders>
              <w:top w:val="single" w:sz="6" w:color="BFBFBF"/>
              <w:left w:val="single" w:sz="6" w:color="BFBFBF"/>
              <w:bottom w:val="single" w:sz="6" w:color="BFBFBF"/>
              <w:right w:val="single" w:sz="6" w:color="BFBFBF"/>
            </w:tcBorders>
          </w:tcPr>
          <w:p>
            <w:r/>
            <w:r>
              <w:rPr>
                <w:rFonts w:ascii="Calibri" w:hAnsi="Calibri"/>
                <w:sz w:val="20"/>
              </w:rPr>
              <w:t>Evidence-based monitoring, dashboards, performance analysis</w:t>
            </w:r>
          </w:p>
        </w:tc>
        <w:tc>
          <w:tcPr>
            <w:tcW w:type="dxa" w:w="907"/>
            <w:vAlign w:val="center"/>
            <w:shd w:val="clear" w:color="auto" w:fill="F2F5FA"/>
            <w:tcBorders>
              <w:top w:val="single" w:sz="6" w:color="BFBFBF"/>
              <w:left w:val="single" w:sz="6" w:color="BFBFBF"/>
              <w:bottom w:val="single" w:sz="6" w:color="BFBFBF"/>
              <w:right w:val="single" w:sz="6" w:color="BFBFBF"/>
            </w:tcBorders>
          </w:tcPr>
          <w:p>
            <w:r/>
            <w:r>
              <w:rPr>
                <w:rFonts w:ascii="Calibri" w:hAnsi="Calibri"/>
                <w:sz w:val="20"/>
              </w:rPr>
              <w:t>5</w:t>
            </w:r>
          </w:p>
        </w:tc>
        <w:tc>
          <w:tcPr>
            <w:tcW w:type="dxa" w:w="1814"/>
            <w:vAlign w:val="center"/>
            <w:shd w:val="clear" w:color="auto" w:fill="F2F5FA"/>
            <w:tcBorders>
              <w:top w:val="single" w:sz="6" w:color="BFBFBF"/>
              <w:left w:val="single" w:sz="6" w:color="BFBFBF"/>
              <w:bottom w:val="single" w:sz="6" w:color="BFBFBF"/>
              <w:right w:val="single" w:sz="6" w:color="BFBFBF"/>
            </w:tcBorders>
          </w:tcPr>
          <w:p>
            <w:r/>
            <w:r>
              <w:rPr>
                <w:rFonts w:ascii="Calibri" w:hAnsi="Calibri"/>
                <w:sz w:val="20"/>
              </w:rPr>
              <w:t>Standard</w:t>
            </w:r>
          </w:p>
        </w:tc>
      </w:tr>
      <w:tr>
        <w:tc>
          <w:tcPr>
            <w:tcW w:type="dxa" w:w="567"/>
            <w:vAlign w:val="center"/>
            <w:tcBorders>
              <w:top w:val="single" w:sz="6" w:color="BFBFBF"/>
              <w:left w:val="single" w:sz="6" w:color="BFBFBF"/>
              <w:bottom w:val="single" w:sz="6" w:color="BFBFBF"/>
              <w:right w:val="single" w:sz="6" w:color="BFBFBF"/>
            </w:tcBorders>
          </w:tcPr>
          <w:p>
            <w:r/>
            <w:r>
              <w:rPr>
                <w:rFonts w:ascii="Calibri" w:hAnsi="Calibri"/>
                <w:sz w:val="20"/>
              </w:rPr>
              <w:t>7</w:t>
            </w:r>
          </w:p>
        </w:tc>
        <w:tc>
          <w:tcPr>
            <w:tcW w:type="dxa" w:w="2551"/>
            <w:vAlign w:val="center"/>
            <w:tcBorders>
              <w:top w:val="single" w:sz="6" w:color="BFBFBF"/>
              <w:left w:val="single" w:sz="6" w:color="BFBFBF"/>
              <w:bottom w:val="single" w:sz="6" w:color="BFBFBF"/>
              <w:right w:val="single" w:sz="6" w:color="BFBFBF"/>
            </w:tcBorders>
          </w:tcPr>
          <w:p>
            <w:r/>
            <w:r>
              <w:rPr>
                <w:rFonts w:ascii="Calibri" w:hAnsi="Calibri"/>
                <w:sz w:val="20"/>
              </w:rPr>
              <w:t>Statistics Customs</w:t>
            </w:r>
          </w:p>
        </w:tc>
        <w:tc>
          <w:tcPr>
            <w:tcW w:type="dxa" w:w="3685"/>
            <w:vAlign w:val="center"/>
            <w:tcBorders>
              <w:top w:val="single" w:sz="6" w:color="BFBFBF"/>
              <w:left w:val="single" w:sz="6" w:color="BFBFBF"/>
              <w:bottom w:val="single" w:sz="6" w:color="BFBFBF"/>
              <w:right w:val="single" w:sz="6" w:color="BFBFBF"/>
            </w:tcBorders>
          </w:tcPr>
          <w:p>
            <w:r/>
            <w:r>
              <w:rPr>
                <w:rFonts w:ascii="Calibri" w:hAnsi="Calibri"/>
                <w:sz w:val="20"/>
              </w:rPr>
              <w:t>Customs data analysis</w:t>
            </w:r>
          </w:p>
        </w:tc>
        <w:tc>
          <w:tcPr>
            <w:tcW w:type="dxa" w:w="907"/>
            <w:vAlign w:val="center"/>
            <w:tcBorders>
              <w:top w:val="single" w:sz="6" w:color="BFBFBF"/>
              <w:left w:val="single" w:sz="6" w:color="BFBFBF"/>
              <w:bottom w:val="single" w:sz="6" w:color="BFBFBF"/>
              <w:right w:val="single" w:sz="6" w:color="BFBFBF"/>
            </w:tcBorders>
          </w:tcPr>
          <w:p>
            <w:r/>
            <w:r>
              <w:rPr>
                <w:rFonts w:ascii="Calibri" w:hAnsi="Calibri"/>
                <w:sz w:val="20"/>
              </w:rPr>
              <w:t>3</w:t>
            </w:r>
          </w:p>
        </w:tc>
        <w:tc>
          <w:tcPr>
            <w:tcW w:type="dxa" w:w="1814"/>
            <w:vAlign w:val="center"/>
            <w:tcBorders>
              <w:top w:val="single" w:sz="6" w:color="BFBFBF"/>
              <w:left w:val="single" w:sz="6" w:color="BFBFBF"/>
              <w:bottom w:val="single" w:sz="6" w:color="BFBFBF"/>
              <w:right w:val="single" w:sz="6" w:color="BFBFBF"/>
            </w:tcBorders>
          </w:tcPr>
          <w:p>
            <w:r/>
            <w:r>
              <w:rPr>
                <w:rFonts w:ascii="Calibri" w:hAnsi="Calibri"/>
                <w:sz w:val="20"/>
              </w:rPr>
              <w:t>Standard</w:t>
            </w:r>
          </w:p>
        </w:tc>
      </w:tr>
      <w:tr>
        <w:tc>
          <w:tcPr>
            <w:tcW w:type="dxa" w:w="567"/>
            <w:vAlign w:val="center"/>
            <w:shd w:val="clear" w:color="auto" w:fill="F2F5FA"/>
            <w:tcBorders>
              <w:top w:val="single" w:sz="6" w:color="BFBFBF"/>
              <w:left w:val="single" w:sz="6" w:color="BFBFBF"/>
              <w:bottom w:val="single" w:sz="6" w:color="BFBFBF"/>
              <w:right w:val="single" w:sz="6" w:color="BFBFBF"/>
            </w:tcBorders>
          </w:tcPr>
          <w:p>
            <w:r/>
            <w:r>
              <w:rPr>
                <w:rFonts w:ascii="Calibri" w:hAnsi="Calibri"/>
                <w:sz w:val="20"/>
              </w:rPr>
            </w:r>
          </w:p>
        </w:tc>
        <w:tc>
          <w:tcPr>
            <w:tcW w:type="dxa" w:w="2551"/>
            <w:vAlign w:val="center"/>
            <w:shd w:val="clear" w:color="auto" w:fill="F2F5FA"/>
            <w:tcBorders>
              <w:top w:val="single" w:sz="6" w:color="BFBFBF"/>
              <w:left w:val="single" w:sz="6" w:color="BFBFBF"/>
              <w:bottom w:val="single" w:sz="6" w:color="BFBFBF"/>
              <w:right w:val="single" w:sz="6" w:color="BFBFBF"/>
            </w:tcBorders>
          </w:tcPr>
          <w:p>
            <w:r/>
            <w:r>
              <w:rPr>
                <w:rFonts w:ascii="Calibri" w:hAnsi="Calibri"/>
                <w:sz w:val="20"/>
              </w:rPr>
              <w:t>Total</w:t>
            </w:r>
          </w:p>
        </w:tc>
        <w:tc>
          <w:tcPr>
            <w:tcW w:type="dxa" w:w="3685"/>
            <w:vAlign w:val="center"/>
            <w:shd w:val="clear" w:color="auto" w:fill="F2F5FA"/>
            <w:tcBorders>
              <w:top w:val="single" w:sz="6" w:color="BFBFBF"/>
              <w:left w:val="single" w:sz="6" w:color="BFBFBF"/>
              <w:bottom w:val="single" w:sz="6" w:color="BFBFBF"/>
              <w:right w:val="single" w:sz="6" w:color="BFBFBF"/>
            </w:tcBorders>
          </w:tcPr>
          <w:p>
            <w:r/>
            <w:r>
              <w:rPr>
                <w:rFonts w:ascii="Calibri" w:hAnsi="Calibri"/>
                <w:sz w:val="20"/>
              </w:rPr>
            </w:r>
          </w:p>
        </w:tc>
        <w:tc>
          <w:tcPr>
            <w:tcW w:type="dxa" w:w="907"/>
            <w:vAlign w:val="center"/>
            <w:shd w:val="clear" w:color="auto" w:fill="F2F5FA"/>
            <w:tcBorders>
              <w:top w:val="single" w:sz="6" w:color="BFBFBF"/>
              <w:left w:val="single" w:sz="6" w:color="BFBFBF"/>
              <w:bottom w:val="single" w:sz="6" w:color="BFBFBF"/>
              <w:right w:val="single" w:sz="6" w:color="BFBFBF"/>
            </w:tcBorders>
          </w:tcPr>
          <w:p>
            <w:r/>
            <w:r>
              <w:rPr>
                <w:rFonts w:ascii="Calibri" w:hAnsi="Calibri"/>
                <w:sz w:val="20"/>
              </w:rPr>
              <w:t>41</w:t>
            </w:r>
          </w:p>
        </w:tc>
        <w:tc>
          <w:tcPr>
            <w:tcW w:type="dxa" w:w="1814"/>
            <w:vAlign w:val="center"/>
            <w:shd w:val="clear" w:color="auto" w:fill="F2F5FA"/>
            <w:tcBorders>
              <w:top w:val="single" w:sz="6" w:color="BFBFBF"/>
              <w:left w:val="single" w:sz="6" w:color="BFBFBF"/>
              <w:bottom w:val="single" w:sz="6" w:color="BFBFBF"/>
              <w:right w:val="single" w:sz="6" w:color="BFBFBF"/>
            </w:tcBorders>
          </w:tcPr>
          <w:p>
            <w:r/>
            <w:r>
              <w:rPr>
                <w:rFonts w:ascii="Calibri" w:hAnsi="Calibri"/>
                <w:sz w:val="20"/>
              </w:rPr>
            </w:r>
          </w:p>
        </w:tc>
      </w:tr>
    </w:tbl>
    <w:p>
      <w:pPr>
        <w:spacing w:after="120"/>
      </w:pPr>
    </w:p>
    <w:p>
      <w:pPr>
        <w:spacing w:before="280" w:after="120"/>
      </w:pPr>
      <w:r>
        <w:rPr>
          <w:rFonts w:ascii="Calibri" w:hAnsi="Calibri"/>
          <w:b/>
          <w:color w:val="1F3A68"/>
          <w:sz w:val="30"/>
        </w:rPr>
        <w:t>4. Selection Methodology</w:t>
      </w:r>
    </w:p>
    <w:p>
      <w:pPr>
        <w:spacing w:after="120"/>
      </w:pPr>
      <w:r>
        <w:rPr>
          <w:rFonts w:ascii="Calibri" w:hAnsi="Calibri"/>
          <w:b w:val="0"/>
          <w:i w:val="0"/>
          <w:color w:val="1A1A1A"/>
          <w:sz w:val="22"/>
        </w:rPr>
        <w:t>Recommendations were made by mapping each team's daily workload to four buying criteria that drive real-world performance in AI and data science: GPU capability and VRAM, RAM capacity, SSD speed and capacity, and sustained thermal performance. Peak benchmark scores were de-prioritised in favour of sustained throughput, because training and large-data workflows expose throttling far more than short bursts.</w:t>
      </w:r>
    </w:p>
    <w:p>
      <w:pPr>
        <w:spacing w:after="120"/>
      </w:pPr>
      <w:r>
        <w:rPr>
          <w:rFonts w:ascii="Calibri" w:hAnsi="Calibri"/>
          <w:b/>
          <w:i w:val="0"/>
          <w:color w:val="1A1A1A"/>
          <w:sz w:val="22"/>
        </w:rPr>
        <w:t>Three machine tiers were defined:</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1417"/>
            <w:shd w:val="clear" w:color="auto" w:fill="1F3A68"/>
            <w:tcBorders>
              <w:top w:val="single" w:sz="6" w:color="1F3A68"/>
              <w:left w:val="single" w:sz="6" w:color="1F3A68"/>
              <w:bottom w:val="single" w:sz="6" w:color="1F3A68"/>
              <w:right w:val="single" w:sz="6" w:color="1F3A68"/>
            </w:tcBorders>
            <w:vAlign w:val="center"/>
          </w:tcPr>
          <w:p>
            <w:pPr>
              <w:jc w:val="left"/>
            </w:pPr>
            <w:r/>
            <w:r>
              <w:rPr>
                <w:rFonts w:ascii="Calibri" w:hAnsi="Calibri"/>
                <w:b/>
                <w:color w:val="FFFFFF"/>
                <w:sz w:val="21"/>
              </w:rPr>
              <w:t>Tier</w:t>
            </w:r>
          </w:p>
        </w:tc>
        <w:tc>
          <w:tcPr>
            <w:tcW w:type="dxa" w:w="3685"/>
            <w:shd w:val="clear" w:color="auto" w:fill="1F3A68"/>
            <w:tcBorders>
              <w:top w:val="single" w:sz="6" w:color="1F3A68"/>
              <w:left w:val="single" w:sz="6" w:color="1F3A68"/>
              <w:bottom w:val="single" w:sz="6" w:color="1F3A68"/>
              <w:right w:val="single" w:sz="6" w:color="1F3A68"/>
            </w:tcBorders>
            <w:vAlign w:val="center"/>
          </w:tcPr>
          <w:p>
            <w:pPr>
              <w:jc w:val="left"/>
            </w:pPr>
            <w:r/>
            <w:r>
              <w:rPr>
                <w:rFonts w:ascii="Calibri" w:hAnsi="Calibri"/>
                <w:b/>
                <w:color w:val="FFFFFF"/>
                <w:sz w:val="21"/>
              </w:rPr>
              <w:t>Profile</w:t>
            </w:r>
          </w:p>
        </w:tc>
        <w:tc>
          <w:tcPr>
            <w:tcW w:type="dxa" w:w="1587"/>
            <w:shd w:val="clear" w:color="auto" w:fill="1F3A68"/>
            <w:tcBorders>
              <w:top w:val="single" w:sz="6" w:color="1F3A68"/>
              <w:left w:val="single" w:sz="6" w:color="1F3A68"/>
              <w:bottom w:val="single" w:sz="6" w:color="1F3A68"/>
              <w:right w:val="single" w:sz="6" w:color="1F3A68"/>
            </w:tcBorders>
            <w:vAlign w:val="center"/>
          </w:tcPr>
          <w:p>
            <w:pPr>
              <w:jc w:val="left"/>
            </w:pPr>
            <w:r/>
            <w:r>
              <w:rPr>
                <w:rFonts w:ascii="Calibri" w:hAnsi="Calibri"/>
                <w:b/>
                <w:color w:val="FFFFFF"/>
                <w:sz w:val="21"/>
              </w:rPr>
              <w:t>Target RAM</w:t>
            </w:r>
          </w:p>
        </w:tc>
        <w:tc>
          <w:tcPr>
            <w:tcW w:type="dxa" w:w="1587"/>
            <w:shd w:val="clear" w:color="auto" w:fill="1F3A68"/>
            <w:tcBorders>
              <w:top w:val="single" w:sz="6" w:color="1F3A68"/>
              <w:left w:val="single" w:sz="6" w:color="1F3A68"/>
              <w:bottom w:val="single" w:sz="6" w:color="1F3A68"/>
              <w:right w:val="single" w:sz="6" w:color="1F3A68"/>
            </w:tcBorders>
            <w:vAlign w:val="center"/>
          </w:tcPr>
          <w:p>
            <w:pPr>
              <w:jc w:val="left"/>
            </w:pPr>
            <w:r/>
            <w:r>
              <w:rPr>
                <w:rFonts w:ascii="Calibri" w:hAnsi="Calibri"/>
                <w:b/>
                <w:color w:val="FFFFFF"/>
                <w:sz w:val="21"/>
              </w:rPr>
              <w:t>Target Storage</w:t>
            </w:r>
          </w:p>
        </w:tc>
        <w:tc>
          <w:tcPr>
            <w:tcW w:type="dxa" w:w="2551"/>
            <w:shd w:val="clear" w:color="auto" w:fill="1F3A68"/>
            <w:tcBorders>
              <w:top w:val="single" w:sz="6" w:color="1F3A68"/>
              <w:left w:val="single" w:sz="6" w:color="1F3A68"/>
              <w:bottom w:val="single" w:sz="6" w:color="1F3A68"/>
              <w:right w:val="single" w:sz="6" w:color="1F3A68"/>
            </w:tcBorders>
            <w:vAlign w:val="center"/>
          </w:tcPr>
          <w:p>
            <w:pPr>
              <w:jc w:val="left"/>
            </w:pPr>
            <w:r/>
            <w:r>
              <w:rPr>
                <w:rFonts w:ascii="Calibri" w:hAnsi="Calibri"/>
                <w:b/>
                <w:color w:val="FFFFFF"/>
                <w:sz w:val="21"/>
              </w:rPr>
              <w:t>GPU Guidance</w:t>
            </w:r>
          </w:p>
        </w:tc>
      </w:tr>
      <w:tr>
        <w:tc>
          <w:tcPr>
            <w:tcW w:type="dxa" w:w="1417"/>
            <w:vAlign w:val="center"/>
            <w:tcBorders>
              <w:top w:val="single" w:sz="6" w:color="BFBFBF"/>
              <w:left w:val="single" w:sz="6" w:color="BFBFBF"/>
              <w:bottom w:val="single" w:sz="6" w:color="BFBFBF"/>
              <w:right w:val="single" w:sz="6" w:color="BFBFBF"/>
            </w:tcBorders>
          </w:tcPr>
          <w:p>
            <w:r/>
            <w:r>
              <w:rPr>
                <w:rFonts w:ascii="Calibri" w:hAnsi="Calibri"/>
                <w:sz w:val="20"/>
              </w:rPr>
              <w:t>Pro</w:t>
            </w:r>
          </w:p>
        </w:tc>
        <w:tc>
          <w:tcPr>
            <w:tcW w:type="dxa" w:w="3685"/>
            <w:vAlign w:val="center"/>
            <w:tcBorders>
              <w:top w:val="single" w:sz="6" w:color="BFBFBF"/>
              <w:left w:val="single" w:sz="6" w:color="BFBFBF"/>
              <w:bottom w:val="single" w:sz="6" w:color="BFBFBF"/>
              <w:right w:val="single" w:sz="6" w:color="BFBFBF"/>
            </w:tcBorders>
          </w:tcPr>
          <w:p>
            <w:r/>
            <w:r>
              <w:rPr>
                <w:rFonts w:ascii="Calibri" w:hAnsi="Calibri"/>
                <w:sz w:val="20"/>
              </w:rPr>
              <w:t>Local deep-learning training, large-model inference, multi-project workflows</w:t>
            </w:r>
          </w:p>
        </w:tc>
        <w:tc>
          <w:tcPr>
            <w:tcW w:type="dxa" w:w="1587"/>
            <w:vAlign w:val="center"/>
            <w:tcBorders>
              <w:top w:val="single" w:sz="6" w:color="BFBFBF"/>
              <w:left w:val="single" w:sz="6" w:color="BFBFBF"/>
              <w:bottom w:val="single" w:sz="6" w:color="BFBFBF"/>
              <w:right w:val="single" w:sz="6" w:color="BFBFBF"/>
            </w:tcBorders>
          </w:tcPr>
          <w:p>
            <w:r/>
            <w:r>
              <w:rPr>
                <w:rFonts w:ascii="Calibri" w:hAnsi="Calibri"/>
                <w:sz w:val="20"/>
              </w:rPr>
              <w:t>64–128 GB</w:t>
            </w:r>
          </w:p>
        </w:tc>
        <w:tc>
          <w:tcPr>
            <w:tcW w:type="dxa" w:w="1587"/>
            <w:vAlign w:val="center"/>
            <w:tcBorders>
              <w:top w:val="single" w:sz="6" w:color="BFBFBF"/>
              <w:left w:val="single" w:sz="6" w:color="BFBFBF"/>
              <w:bottom w:val="single" w:sz="6" w:color="BFBFBF"/>
              <w:right w:val="single" w:sz="6" w:color="BFBFBF"/>
            </w:tcBorders>
          </w:tcPr>
          <w:p>
            <w:r/>
            <w:r>
              <w:rPr>
                <w:rFonts w:ascii="Calibri" w:hAnsi="Calibri"/>
                <w:sz w:val="20"/>
              </w:rPr>
              <w:t>2 TB NVMe</w:t>
            </w:r>
          </w:p>
        </w:tc>
        <w:tc>
          <w:tcPr>
            <w:tcW w:type="dxa" w:w="2551"/>
            <w:vAlign w:val="center"/>
            <w:tcBorders>
              <w:top w:val="single" w:sz="6" w:color="BFBFBF"/>
              <w:left w:val="single" w:sz="6" w:color="BFBFBF"/>
              <w:bottom w:val="single" w:sz="6" w:color="BFBFBF"/>
              <w:right w:val="single" w:sz="6" w:color="BFBFBF"/>
            </w:tcBorders>
          </w:tcPr>
          <w:p>
            <w:r/>
            <w:r>
              <w:rPr>
                <w:rFonts w:ascii="Calibri" w:hAnsi="Calibri"/>
                <w:sz w:val="20"/>
              </w:rPr>
              <w:t>RTX 5090 (24 GB) or Apple M5 Max</w:t>
            </w:r>
          </w:p>
        </w:tc>
      </w:tr>
      <w:tr>
        <w:tc>
          <w:tcPr>
            <w:tcW w:type="dxa" w:w="1417"/>
            <w:vAlign w:val="center"/>
            <w:shd w:val="clear" w:color="auto" w:fill="F2F5FA"/>
            <w:tcBorders>
              <w:top w:val="single" w:sz="6" w:color="BFBFBF"/>
              <w:left w:val="single" w:sz="6" w:color="BFBFBF"/>
              <w:bottom w:val="single" w:sz="6" w:color="BFBFBF"/>
              <w:right w:val="single" w:sz="6" w:color="BFBFBF"/>
            </w:tcBorders>
          </w:tcPr>
          <w:p>
            <w:r/>
            <w:r>
              <w:rPr>
                <w:rFonts w:ascii="Calibri" w:hAnsi="Calibri"/>
                <w:sz w:val="20"/>
              </w:rPr>
              <w:t>Recommended</w:t>
            </w:r>
          </w:p>
        </w:tc>
        <w:tc>
          <w:tcPr>
            <w:tcW w:type="dxa" w:w="3685"/>
            <w:vAlign w:val="center"/>
            <w:shd w:val="clear" w:color="auto" w:fill="F2F5FA"/>
            <w:tcBorders>
              <w:top w:val="single" w:sz="6" w:color="BFBFBF"/>
              <w:left w:val="single" w:sz="6" w:color="BFBFBF"/>
              <w:bottom w:val="single" w:sz="6" w:color="BFBFBF"/>
              <w:right w:val="single" w:sz="6" w:color="BFBFBF"/>
            </w:tcBorders>
          </w:tcPr>
          <w:p>
            <w:r/>
            <w:r>
              <w:rPr>
                <w:rFonts w:ascii="Calibri" w:hAnsi="Calibri"/>
                <w:sz w:val="20"/>
              </w:rPr>
              <w:t>Mixed ML, simulation, heavy data engineering, GPU-accelerated experiments</w:t>
            </w:r>
          </w:p>
        </w:tc>
        <w:tc>
          <w:tcPr>
            <w:tcW w:type="dxa" w:w="1587"/>
            <w:vAlign w:val="center"/>
            <w:shd w:val="clear" w:color="auto" w:fill="F2F5FA"/>
            <w:tcBorders>
              <w:top w:val="single" w:sz="6" w:color="BFBFBF"/>
              <w:left w:val="single" w:sz="6" w:color="BFBFBF"/>
              <w:bottom w:val="single" w:sz="6" w:color="BFBFBF"/>
              <w:right w:val="single" w:sz="6" w:color="BFBFBF"/>
            </w:tcBorders>
          </w:tcPr>
          <w:p>
            <w:r/>
            <w:r>
              <w:rPr>
                <w:rFonts w:ascii="Calibri" w:hAnsi="Calibri"/>
                <w:sz w:val="20"/>
              </w:rPr>
              <w:t>32–64 GB</w:t>
            </w:r>
          </w:p>
        </w:tc>
        <w:tc>
          <w:tcPr>
            <w:tcW w:type="dxa" w:w="1587"/>
            <w:vAlign w:val="center"/>
            <w:shd w:val="clear" w:color="auto" w:fill="F2F5FA"/>
            <w:tcBorders>
              <w:top w:val="single" w:sz="6" w:color="BFBFBF"/>
              <w:left w:val="single" w:sz="6" w:color="BFBFBF"/>
              <w:bottom w:val="single" w:sz="6" w:color="BFBFBF"/>
              <w:right w:val="single" w:sz="6" w:color="BFBFBF"/>
            </w:tcBorders>
          </w:tcPr>
          <w:p>
            <w:r/>
            <w:r>
              <w:rPr>
                <w:rFonts w:ascii="Calibri" w:hAnsi="Calibri"/>
                <w:sz w:val="20"/>
              </w:rPr>
              <w:t>1–2 TB NVMe</w:t>
            </w:r>
          </w:p>
        </w:tc>
        <w:tc>
          <w:tcPr>
            <w:tcW w:type="dxa" w:w="2551"/>
            <w:vAlign w:val="center"/>
            <w:shd w:val="clear" w:color="auto" w:fill="F2F5FA"/>
            <w:tcBorders>
              <w:top w:val="single" w:sz="6" w:color="BFBFBF"/>
              <w:left w:val="single" w:sz="6" w:color="BFBFBF"/>
              <w:bottom w:val="single" w:sz="6" w:color="BFBFBF"/>
              <w:right w:val="single" w:sz="6" w:color="BFBFBF"/>
            </w:tcBorders>
          </w:tcPr>
          <w:p>
            <w:r/>
            <w:r>
              <w:rPr>
                <w:rFonts w:ascii="Calibri" w:hAnsi="Calibri"/>
                <w:sz w:val="20"/>
              </w:rPr>
              <w:t>RTX 5070 Ti / 5080 (12–16 GB)</w:t>
            </w:r>
          </w:p>
        </w:tc>
      </w:tr>
      <w:tr>
        <w:tc>
          <w:tcPr>
            <w:tcW w:type="dxa" w:w="1417"/>
            <w:vAlign w:val="center"/>
            <w:tcBorders>
              <w:top w:val="single" w:sz="6" w:color="BFBFBF"/>
              <w:left w:val="single" w:sz="6" w:color="BFBFBF"/>
              <w:bottom w:val="single" w:sz="6" w:color="BFBFBF"/>
              <w:right w:val="single" w:sz="6" w:color="BFBFBF"/>
            </w:tcBorders>
          </w:tcPr>
          <w:p>
            <w:r/>
            <w:r>
              <w:rPr>
                <w:rFonts w:ascii="Calibri" w:hAnsi="Calibri"/>
                <w:sz w:val="20"/>
              </w:rPr>
              <w:t>Standard</w:t>
            </w:r>
          </w:p>
        </w:tc>
        <w:tc>
          <w:tcPr>
            <w:tcW w:type="dxa" w:w="3685"/>
            <w:vAlign w:val="center"/>
            <w:tcBorders>
              <w:top w:val="single" w:sz="6" w:color="BFBFBF"/>
              <w:left w:val="single" w:sz="6" w:color="BFBFBF"/>
              <w:bottom w:val="single" w:sz="6" w:color="BFBFBF"/>
              <w:right w:val="single" w:sz="6" w:color="BFBFBF"/>
            </w:tcBorders>
          </w:tcPr>
          <w:p>
            <w:r/>
            <w:r>
              <w:rPr>
                <w:rFonts w:ascii="Calibri" w:hAnsi="Calibri"/>
                <w:sz w:val="20"/>
              </w:rPr>
              <w:t>Analytics, dashboards, policy analysis, governance and reporting</w:t>
            </w:r>
          </w:p>
        </w:tc>
        <w:tc>
          <w:tcPr>
            <w:tcW w:type="dxa" w:w="1587"/>
            <w:vAlign w:val="center"/>
            <w:tcBorders>
              <w:top w:val="single" w:sz="6" w:color="BFBFBF"/>
              <w:left w:val="single" w:sz="6" w:color="BFBFBF"/>
              <w:bottom w:val="single" w:sz="6" w:color="BFBFBF"/>
              <w:right w:val="single" w:sz="6" w:color="BFBFBF"/>
            </w:tcBorders>
          </w:tcPr>
          <w:p>
            <w:r/>
            <w:r>
              <w:rPr>
                <w:rFonts w:ascii="Calibri" w:hAnsi="Calibri"/>
                <w:sz w:val="20"/>
              </w:rPr>
              <w:t>32 GB</w:t>
            </w:r>
          </w:p>
        </w:tc>
        <w:tc>
          <w:tcPr>
            <w:tcW w:type="dxa" w:w="1587"/>
            <w:vAlign w:val="center"/>
            <w:tcBorders>
              <w:top w:val="single" w:sz="6" w:color="BFBFBF"/>
              <w:left w:val="single" w:sz="6" w:color="BFBFBF"/>
              <w:bottom w:val="single" w:sz="6" w:color="BFBFBF"/>
              <w:right w:val="single" w:sz="6" w:color="BFBFBF"/>
            </w:tcBorders>
          </w:tcPr>
          <w:p>
            <w:r/>
            <w:r>
              <w:rPr>
                <w:rFonts w:ascii="Calibri" w:hAnsi="Calibri"/>
                <w:sz w:val="20"/>
              </w:rPr>
              <w:t>1 TB NVMe</w:t>
            </w:r>
          </w:p>
        </w:tc>
        <w:tc>
          <w:tcPr>
            <w:tcW w:type="dxa" w:w="2551"/>
            <w:vAlign w:val="center"/>
            <w:tcBorders>
              <w:top w:val="single" w:sz="6" w:color="BFBFBF"/>
              <w:left w:val="single" w:sz="6" w:color="BFBFBF"/>
              <w:bottom w:val="single" w:sz="6" w:color="BFBFBF"/>
              <w:right w:val="single" w:sz="6" w:color="BFBFBF"/>
            </w:tcBorders>
          </w:tcPr>
          <w:p>
            <w:r/>
            <w:r>
              <w:rPr>
                <w:rFonts w:ascii="Calibri" w:hAnsi="Calibri"/>
                <w:sz w:val="20"/>
              </w:rPr>
              <w:t>Integrated or entry RTX</w:t>
            </w:r>
          </w:p>
        </w:tc>
      </w:tr>
    </w:tbl>
    <w:p>
      <w:pPr>
        <w:spacing w:after="120"/>
      </w:pPr>
    </w:p>
    <w:p>
      <w:pPr>
        <w:spacing w:before="280" w:after="120"/>
      </w:pPr>
      <w:r>
        <w:rPr>
          <w:rFonts w:ascii="Calibri" w:hAnsi="Calibri"/>
          <w:b/>
          <w:color w:val="1F3A68"/>
          <w:sz w:val="30"/>
        </w:rPr>
        <w:t>5. Team-by-Team Recommendations</w:t>
      </w:r>
    </w:p>
    <w:p>
      <w:pPr>
        <w:spacing w:before="280" w:after="120"/>
      </w:pPr>
      <w:r>
        <w:rPr>
          <w:rFonts w:ascii="Calibri" w:hAnsi="Calibri"/>
          <w:b/>
          <w:color w:val="2E75B6"/>
          <w:sz w:val="26"/>
        </w:rPr>
        <w:t>5.1 Data Science (11 units) — Pro tier</w:t>
      </w:r>
    </w:p>
    <w:p>
      <w:pPr>
        <w:spacing w:after="120"/>
      </w:pPr>
      <w:r>
        <w:rPr>
          <w:rFonts w:ascii="Calibri" w:hAnsi="Calibri"/>
          <w:b w:val="0"/>
          <w:i w:val="0"/>
          <w:color w:val="1A1A1A"/>
          <w:sz w:val="22"/>
        </w:rPr>
        <w:t>This team carries the institution's heaviest AI workload: training and fine-tuning machine-learning models, running large language models locally, performing big-data analytics, and automating intelligence pipelines. VRAM, sustained GPU power and memory bandwidth are the binding constraints, and any under-provisioning here directly limits what the institution can build in-house.</w:t>
      </w:r>
    </w:p>
    <w:p>
      <w:pPr>
        <w:spacing w:after="120"/>
      </w:pPr>
      <w:r>
        <w:rPr>
          <w:rFonts w:ascii="Calibri" w:hAnsi="Calibri"/>
          <w:b/>
          <w:i w:val="0"/>
          <w:color w:val="1A1A1A"/>
          <w:sz w:val="22"/>
        </w:rPr>
        <w:t>Primary recommendation: ASUS ROG Zephyrus Duo (2026) GX651 — 8 units</w:t>
      </w:r>
    </w:p>
    <w:p>
      <w:pPr>
        <w:pStyle w:val="ListBullet"/>
        <w:spacing w:after="60"/>
      </w:pPr>
      <w:r>
        <w:rPr>
          <w:rFonts w:ascii="Calibri" w:hAnsi="Calibri"/>
          <w:sz w:val="22"/>
        </w:rPr>
        <w:t>Intel Core Ultra 9 386H (16 cores) with NPU up to 50 TOPS for on-device acceleration.</w:t>
      </w:r>
    </w:p>
    <w:p>
      <w:pPr>
        <w:pStyle w:val="ListBullet"/>
        <w:spacing w:after="60"/>
      </w:pPr>
      <w:r>
        <w:rPr>
          <w:rFonts w:ascii="Calibri" w:hAnsi="Calibri"/>
          <w:sz w:val="22"/>
        </w:rPr>
        <w:t>NVIDIA RTX 5090 Laptop GPU with 24 GB GDDR7 — sufficient for fine-tuning mid-sized transformers and running 13B–34B parameter LLMs locally.</w:t>
      </w:r>
    </w:p>
    <w:p>
      <w:pPr>
        <w:pStyle w:val="ListBullet"/>
        <w:spacing w:after="60"/>
      </w:pPr>
      <w:r>
        <w:rPr>
          <w:rFonts w:ascii="Calibri" w:hAnsi="Calibri"/>
          <w:sz w:val="22"/>
        </w:rPr>
        <w:t>64 GB LPDDR5X memory and 2 TB PCIe 5.0 NVMe SSD for large dataset handling and rapid checkpointing.</w:t>
      </w:r>
    </w:p>
    <w:p>
      <w:pPr>
        <w:pStyle w:val="ListBullet"/>
        <w:spacing w:after="60"/>
      </w:pPr>
      <w:r>
        <w:rPr>
          <w:rFonts w:ascii="Calibri" w:hAnsi="Calibri"/>
          <w:sz w:val="22"/>
        </w:rPr>
        <w:t>Dual-screen ROG Nebula HDR OLED display improves productivity in notebooks, dashboards, and model monitoring.</w:t>
      </w:r>
    </w:p>
    <w:p>
      <w:pPr>
        <w:spacing w:after="120"/>
      </w:pPr>
      <w:r>
        <w:rPr>
          <w:rFonts w:ascii="Calibri" w:hAnsi="Calibri"/>
          <w:b/>
          <w:i w:val="0"/>
          <w:color w:val="1A1A1A"/>
          <w:sz w:val="22"/>
        </w:rPr>
        <w:t>Complementary recommendation: MacBook Pro 16-inch (M5 Max) — 3 units</w:t>
      </w:r>
    </w:p>
    <w:p>
      <w:pPr>
        <w:pStyle w:val="ListBullet"/>
        <w:spacing w:after="60"/>
      </w:pPr>
      <w:r>
        <w:rPr>
          <w:rFonts w:ascii="Calibri" w:hAnsi="Calibri"/>
          <w:sz w:val="22"/>
        </w:rPr>
        <w:t>Up to 128 GB unified memory enables loading of 70B-parameter models for inference and RAG experimentation, which exceeds the practical reach of any 24 GB VRAM laptop.</w:t>
      </w:r>
    </w:p>
    <w:p>
      <w:pPr>
        <w:pStyle w:val="ListBullet"/>
        <w:spacing w:after="60"/>
      </w:pPr>
      <w:r>
        <w:rPr>
          <w:rFonts w:ascii="Calibri" w:hAnsi="Calibri"/>
          <w:sz w:val="22"/>
        </w:rPr>
        <w:t>16-core Neural Engine and 40-core GPU accelerate transformer workloads via PyTorch's MPS backend.</w:t>
      </w:r>
    </w:p>
    <w:p>
      <w:pPr>
        <w:pStyle w:val="ListBullet"/>
        <w:spacing w:after="60"/>
      </w:pPr>
      <w:r>
        <w:rPr>
          <w:rFonts w:ascii="Calibri" w:hAnsi="Calibri"/>
          <w:sz w:val="22"/>
        </w:rPr>
        <w:t>Up to 24 hours battery life and silent operation suits team leads who travel between sites and conduct on-the-go research.</w:t>
      </w:r>
    </w:p>
    <w:p>
      <w:pPr>
        <w:spacing w:after="120"/>
      </w:pPr>
      <w:r>
        <w:rPr>
          <w:rFonts w:ascii="Calibri" w:hAnsi="Calibri"/>
          <w:b w:val="0"/>
          <w:i/>
          <w:color w:val="595959"/>
          <w:sz w:val="22"/>
        </w:rPr>
        <w:t>Justification for the split: a small number of M5 Max machines extends the team's ceiling for very large model inference (where unified memory matters more than CUDA), while the majority RTX fleet retains full compatibility with CUDA-based training stacks used by the open-source ML ecosystem.</w:t>
      </w:r>
    </w:p>
    <w:p>
      <w:pPr>
        <w:spacing w:before="280" w:after="120"/>
      </w:pPr>
      <w:r>
        <w:rPr>
          <w:rFonts w:ascii="Calibri" w:hAnsi="Calibri"/>
          <w:b/>
          <w:color w:val="2E75B6"/>
          <w:sz w:val="26"/>
        </w:rPr>
        <w:t>5.2 Revenue Modeling and Statistics (6 units) — Recommended tier</w:t>
      </w:r>
    </w:p>
    <w:p>
      <w:pPr>
        <w:spacing w:after="120"/>
      </w:pPr>
      <w:r>
        <w:rPr>
          <w:rFonts w:ascii="Calibri" w:hAnsi="Calibri"/>
          <w:b w:val="0"/>
          <w:i w:val="0"/>
          <w:color w:val="1A1A1A"/>
          <w:sz w:val="22"/>
        </w:rPr>
        <w:t>This team performs econometric modelling, microsimulation and tax analysis. These workloads are CPU- and memory-bound — long simulation runs, large panel datasets and Monte Carlo iterations benefit far more from sustained CPU performance and ample RAM than from peak GPU power.</w:t>
      </w:r>
    </w:p>
    <w:p>
      <w:pPr>
        <w:spacing w:after="120"/>
      </w:pPr>
      <w:r>
        <w:rPr>
          <w:rFonts w:ascii="Calibri" w:hAnsi="Calibri"/>
          <w:b/>
          <w:i w:val="0"/>
          <w:color w:val="1A1A1A"/>
          <w:sz w:val="22"/>
        </w:rPr>
        <w:t>Recommendation: Lenovo Legion Pro 7i Gen 10 (16-inch) — 6 units</w:t>
      </w:r>
    </w:p>
    <w:p>
      <w:pPr>
        <w:pStyle w:val="ListBullet"/>
        <w:spacing w:after="60"/>
      </w:pPr>
      <w:r>
        <w:rPr>
          <w:rFonts w:ascii="Calibri" w:hAnsi="Calibri"/>
          <w:sz w:val="22"/>
        </w:rPr>
        <w:t>Intel Core Ultra 9 / RTX 5080 Laptop GPU (16 GB VRAM) — provides accelerated GPU capability for matrix-heavy simulations without the cost of an RTX 5090 fleet.</w:t>
      </w:r>
    </w:p>
    <w:p>
      <w:pPr>
        <w:pStyle w:val="ListBullet"/>
        <w:spacing w:after="60"/>
      </w:pPr>
      <w:r>
        <w:rPr>
          <w:rFonts w:ascii="Calibri" w:hAnsi="Calibri"/>
          <w:sz w:val="22"/>
        </w:rPr>
        <w:t>64 GB DDR5 RAM and 2 TB NVMe SSD support large microsimulation datasets and multi-year tax panels held entirely in memory.</w:t>
      </w:r>
    </w:p>
    <w:p>
      <w:pPr>
        <w:pStyle w:val="ListBullet"/>
        <w:spacing w:after="60"/>
      </w:pPr>
      <w:r>
        <w:rPr>
          <w:rFonts w:ascii="Calibri" w:hAnsi="Calibri"/>
          <w:sz w:val="22"/>
        </w:rPr>
        <w:t>Strong cooling system sustains long simulation runs without thermal throttling.</w:t>
      </w:r>
    </w:p>
    <w:p>
      <w:pPr>
        <w:spacing w:before="280" w:after="120"/>
      </w:pPr>
      <w:r>
        <w:rPr>
          <w:rFonts w:ascii="Calibri" w:hAnsi="Calibri"/>
          <w:b/>
          <w:color w:val="2E75B6"/>
          <w:sz w:val="26"/>
        </w:rPr>
        <w:t>5.3 Tax Analysis &amp; Revenue Forecasting (4 units) — Recommended tier</w:t>
      </w:r>
    </w:p>
    <w:p>
      <w:pPr>
        <w:spacing w:after="120"/>
      </w:pPr>
      <w:r>
        <w:rPr>
          <w:rFonts w:ascii="Calibri" w:hAnsi="Calibri"/>
          <w:b w:val="0"/>
          <w:i w:val="0"/>
          <w:color w:val="1A1A1A"/>
          <w:sz w:val="22"/>
        </w:rPr>
        <w:t>This team produces time-series forecasts and scenario analyses that feed directly into revenue planning. Workloads include statistical models, gradient-boosted ensembles and neural forecasting architectures that benefit from a moderate GPU and a generous RAM allocation.</w:t>
      </w:r>
    </w:p>
    <w:p>
      <w:pPr>
        <w:spacing w:after="120"/>
      </w:pPr>
      <w:r>
        <w:rPr>
          <w:rFonts w:ascii="Calibri" w:hAnsi="Calibri"/>
          <w:b/>
          <w:i w:val="0"/>
          <w:color w:val="1A1A1A"/>
          <w:sz w:val="22"/>
        </w:rPr>
        <w:t>Recommendation: ASUS ROG Zephyrus G14 (2025) — 4 units</w:t>
      </w:r>
    </w:p>
    <w:p>
      <w:pPr>
        <w:pStyle w:val="ListBullet"/>
        <w:spacing w:after="60"/>
      </w:pPr>
      <w:r>
        <w:rPr>
          <w:rFonts w:ascii="Calibri" w:hAnsi="Calibri"/>
          <w:sz w:val="22"/>
        </w:rPr>
        <w:t>NVIDIA RTX 5070 Ti Laptop GPU — accelerates training of forecasting models (LSTM, Transformer-based forecasters) without the bulk of a desktop replacement.</w:t>
      </w:r>
    </w:p>
    <w:p>
      <w:pPr>
        <w:pStyle w:val="ListBullet"/>
        <w:spacing w:after="60"/>
      </w:pPr>
      <w:r>
        <w:rPr>
          <w:rFonts w:ascii="Calibri" w:hAnsi="Calibri"/>
          <w:sz w:val="22"/>
        </w:rPr>
        <w:t>32 GB DDR5 RAM and 1 TB NVMe SSD — comfortable for parallel scenario runs and concurrent notebook sessions.</w:t>
      </w:r>
    </w:p>
    <w:p>
      <w:pPr>
        <w:pStyle w:val="ListBullet"/>
        <w:spacing w:after="60"/>
      </w:pPr>
      <w:r>
        <w:rPr>
          <w:rFonts w:ascii="Calibri" w:hAnsi="Calibri"/>
          <w:sz w:val="22"/>
        </w:rPr>
        <w:t>Compact 14-inch chassis suits analysts who frequently present scenarios to leadership and policy stakeholders.</w:t>
      </w:r>
    </w:p>
    <w:p>
      <w:pPr>
        <w:spacing w:before="280" w:after="120"/>
      </w:pPr>
      <w:r>
        <w:rPr>
          <w:rFonts w:ascii="Calibri" w:hAnsi="Calibri"/>
          <w:b/>
          <w:color w:val="2E75B6"/>
          <w:sz w:val="26"/>
        </w:rPr>
        <w:t>5.4 Data Governance (4 units) — Standard tier</w:t>
      </w:r>
    </w:p>
    <w:p>
      <w:pPr>
        <w:spacing w:after="120"/>
      </w:pPr>
      <w:r>
        <w:rPr>
          <w:rFonts w:ascii="Calibri" w:hAnsi="Calibri"/>
          <w:b w:val="0"/>
          <w:i w:val="0"/>
          <w:color w:val="1A1A1A"/>
          <w:sz w:val="22"/>
        </w:rPr>
        <w:t>The team's focus is data quality, metadata management and system integration. Workloads are dominated by SQL, ETL orchestration, schema validation and integration tooling, where stability, port selection and a reliable enterprise-grade build matter more than GPU power.</w:t>
      </w:r>
    </w:p>
    <w:p>
      <w:pPr>
        <w:spacing w:after="120"/>
      </w:pPr>
      <w:r>
        <w:rPr>
          <w:rFonts w:ascii="Calibri" w:hAnsi="Calibri"/>
          <w:b/>
          <w:i w:val="0"/>
          <w:color w:val="1A1A1A"/>
          <w:sz w:val="22"/>
        </w:rPr>
        <w:t>Recommendation: Lenovo ThinkPad P1 Gen 7 — 4 units</w:t>
      </w:r>
    </w:p>
    <w:p>
      <w:pPr>
        <w:pStyle w:val="ListBullet"/>
        <w:spacing w:after="60"/>
      </w:pPr>
      <w:r>
        <w:rPr>
          <w:rFonts w:ascii="Calibri" w:hAnsi="Calibri"/>
          <w:sz w:val="22"/>
        </w:rPr>
        <w:t>Workstation-grade reliability with certified drivers — important for teams that interface with multiple institutional systems and docks.</w:t>
      </w:r>
    </w:p>
    <w:p>
      <w:pPr>
        <w:pStyle w:val="ListBullet"/>
        <w:spacing w:after="60"/>
      </w:pPr>
      <w:r>
        <w:rPr>
          <w:rFonts w:ascii="Calibri" w:hAnsi="Calibri"/>
          <w:sz w:val="22"/>
        </w:rPr>
        <w:t>32 GB DDR5 RAM and 1 TB NVMe SSD — supports multiple database clients, virtual machines and data quality tooling running simultaneously.</w:t>
      </w:r>
    </w:p>
    <w:p>
      <w:pPr>
        <w:pStyle w:val="ListBullet"/>
        <w:spacing w:after="60"/>
      </w:pPr>
      <w:r>
        <w:rPr>
          <w:rFonts w:ascii="Calibri" w:hAnsi="Calibri"/>
          <w:sz w:val="22"/>
        </w:rPr>
        <w:t>Entry RTX option provides headroom for occasional analytical workloads without paying for a gaming-class GPU.</w:t>
      </w:r>
    </w:p>
    <w:p>
      <w:pPr>
        <w:spacing w:before="280" w:after="120"/>
      </w:pPr>
      <w:r>
        <w:rPr>
          <w:rFonts w:ascii="Calibri" w:hAnsi="Calibri"/>
          <w:b/>
          <w:color w:val="2E75B6"/>
          <w:sz w:val="26"/>
        </w:rPr>
        <w:t>5.5 Research and Policy Analysis (8 units) — Recommended tier</w:t>
      </w:r>
    </w:p>
    <w:p>
      <w:pPr>
        <w:spacing w:after="120"/>
      </w:pPr>
      <w:r>
        <w:rPr>
          <w:rFonts w:ascii="Calibri" w:hAnsi="Calibri"/>
          <w:b w:val="0"/>
          <w:i w:val="0"/>
          <w:color w:val="1A1A1A"/>
          <w:sz w:val="22"/>
        </w:rPr>
        <w:t>This team conducts impact evaluations, policy simulations and analytical research, frequently combining econometric techniques with policy-document review and presentation work. The workload is mixed: long simulation runs, heavy reading, and significant time spent producing publication-quality outputs.</w:t>
      </w:r>
    </w:p>
    <w:p>
      <w:pPr>
        <w:spacing w:after="120"/>
      </w:pPr>
      <w:r>
        <w:rPr>
          <w:rFonts w:ascii="Calibri" w:hAnsi="Calibri"/>
          <w:b/>
          <w:i w:val="0"/>
          <w:color w:val="1A1A1A"/>
          <w:sz w:val="22"/>
        </w:rPr>
        <w:t>Recommendation: Dell XPS 16 (9640) — 8 units</w:t>
      </w:r>
    </w:p>
    <w:p>
      <w:pPr>
        <w:pStyle w:val="ListBullet"/>
        <w:spacing w:after="60"/>
      </w:pPr>
      <w:r>
        <w:rPr>
          <w:rFonts w:ascii="Calibri" w:hAnsi="Calibri"/>
          <w:sz w:val="22"/>
        </w:rPr>
        <w:t>Premium 16-inch OLED display — reduces fatigue during the long reading and writing sessions characteristic of policy work.</w:t>
      </w:r>
    </w:p>
    <w:p>
      <w:pPr>
        <w:pStyle w:val="ListBullet"/>
        <w:spacing w:after="60"/>
      </w:pPr>
      <w:r>
        <w:rPr>
          <w:rFonts w:ascii="Calibri" w:hAnsi="Calibri"/>
          <w:sz w:val="22"/>
        </w:rPr>
        <w:t>32 GB DDR5 RAM, 1 TB NVMe SSD, and an RTX 4060 GPU option — sufficient for policy simulations and light-to-moderate ML experimentation.</w:t>
      </w:r>
    </w:p>
    <w:p>
      <w:pPr>
        <w:pStyle w:val="ListBullet"/>
        <w:spacing w:after="60"/>
      </w:pPr>
      <w:r>
        <w:rPr>
          <w:rFonts w:ascii="Calibri" w:hAnsi="Calibri"/>
          <w:sz w:val="22"/>
        </w:rPr>
        <w:t>Balanced ergonomics and portability for researchers presenting to government and external partners.</w:t>
      </w:r>
    </w:p>
    <w:p>
      <w:pPr>
        <w:spacing w:before="280" w:after="120"/>
      </w:pPr>
      <w:r>
        <w:rPr>
          <w:rFonts w:ascii="Calibri" w:hAnsi="Calibri"/>
          <w:b/>
          <w:color w:val="2E75B6"/>
          <w:sz w:val="26"/>
        </w:rPr>
        <w:t>5.6 EBM Data Analysis (5 units) — Standard tier</w:t>
      </w:r>
    </w:p>
    <w:p>
      <w:pPr>
        <w:spacing w:after="120"/>
      </w:pPr>
      <w:r>
        <w:rPr>
          <w:rFonts w:ascii="Calibri" w:hAnsi="Calibri"/>
          <w:b w:val="0"/>
          <w:i w:val="0"/>
          <w:color w:val="1A1A1A"/>
          <w:sz w:val="22"/>
        </w:rPr>
        <w:t>This team performs evidence-based monitoring, builds dashboards, and analyses performance data drawn from the EBM ecosystem. Workloads are I/O- and visualisation-heavy rather than compute-bound: BI tools, SQL clients and dashboard platforms benefit most from RAM, fast storage and a high-quality display.</w:t>
      </w:r>
    </w:p>
    <w:p>
      <w:pPr>
        <w:spacing w:after="120"/>
      </w:pPr>
      <w:r>
        <w:rPr>
          <w:rFonts w:ascii="Calibri" w:hAnsi="Calibri"/>
          <w:b/>
          <w:i w:val="0"/>
          <w:color w:val="1A1A1A"/>
          <w:sz w:val="22"/>
        </w:rPr>
        <w:t>Recommendation: Dell XPS 16 (9640) — 5 units</w:t>
      </w:r>
    </w:p>
    <w:p>
      <w:pPr>
        <w:pStyle w:val="ListBullet"/>
        <w:spacing w:after="60"/>
      </w:pPr>
      <w:r>
        <w:rPr>
          <w:rFonts w:ascii="Calibri" w:hAnsi="Calibri"/>
          <w:sz w:val="22"/>
        </w:rPr>
        <w:t>32 GB DDR5 RAM and 1 TB NVMe SSD — keeps multiple dashboards, BI tools and large query results responsive.</w:t>
      </w:r>
    </w:p>
    <w:p>
      <w:pPr>
        <w:pStyle w:val="ListBullet"/>
        <w:spacing w:after="60"/>
      </w:pPr>
      <w:r>
        <w:rPr>
          <w:rFonts w:ascii="Calibri" w:hAnsi="Calibri"/>
          <w:sz w:val="22"/>
        </w:rPr>
        <w:t>OLED display with full DCI-P3 colour coverage produces accurate, presentation-ready dashboards and visualisations.</w:t>
      </w:r>
    </w:p>
    <w:p>
      <w:pPr>
        <w:pStyle w:val="ListBullet"/>
        <w:spacing w:after="60"/>
      </w:pPr>
      <w:r>
        <w:rPr>
          <w:rFonts w:ascii="Calibri" w:hAnsi="Calibri"/>
          <w:sz w:val="22"/>
        </w:rPr>
        <w:t>Standardising EBM and Research and Policy Analysis on the same model simplifies support, imaging and spare-part inventory.</w:t>
      </w:r>
    </w:p>
    <w:p>
      <w:pPr>
        <w:spacing w:before="280" w:after="120"/>
      </w:pPr>
      <w:r>
        <w:rPr>
          <w:rFonts w:ascii="Calibri" w:hAnsi="Calibri"/>
          <w:b/>
          <w:color w:val="2E75B6"/>
          <w:sz w:val="26"/>
        </w:rPr>
        <w:t>5.7 Statistics Customs (3 units) — Standard tier</w:t>
      </w:r>
    </w:p>
    <w:p>
      <w:pPr>
        <w:spacing w:after="120"/>
      </w:pPr>
      <w:r>
        <w:rPr>
          <w:rFonts w:ascii="Calibri" w:hAnsi="Calibri"/>
          <w:b w:val="0"/>
          <w:i w:val="0"/>
          <w:color w:val="1A1A1A"/>
          <w:sz w:val="22"/>
        </w:rPr>
        <w:t>Customs statistics work centres on transactional and tariff data analysis, with a focus on accurate reporting rather than model training. A reliable, value-oriented machine with strong CPU and ample RAM is the right fit.</w:t>
      </w:r>
    </w:p>
    <w:p>
      <w:pPr>
        <w:spacing w:after="120"/>
      </w:pPr>
      <w:r>
        <w:rPr>
          <w:rFonts w:ascii="Calibri" w:hAnsi="Calibri"/>
          <w:b/>
          <w:i w:val="0"/>
          <w:color w:val="1A1A1A"/>
          <w:sz w:val="22"/>
        </w:rPr>
        <w:t>Recommendation: ASUS TUF Gaming A16 (2025) — 3 units</w:t>
      </w:r>
    </w:p>
    <w:p>
      <w:pPr>
        <w:pStyle w:val="ListBullet"/>
        <w:spacing w:after="60"/>
      </w:pPr>
      <w:r>
        <w:rPr>
          <w:rFonts w:ascii="Calibri" w:hAnsi="Calibri"/>
          <w:sz w:val="22"/>
        </w:rPr>
        <w:t>RTX 5060 Laptop GPU with 32 GB DDR5 RAM and 1 TB NVMe SSD — provides GPU headroom for occasional ML experimentation while keeping unit cost contained.</w:t>
      </w:r>
    </w:p>
    <w:p>
      <w:pPr>
        <w:pStyle w:val="ListBullet"/>
        <w:spacing w:after="60"/>
      </w:pPr>
      <w:r>
        <w:rPr>
          <w:rFonts w:ascii="Calibri" w:hAnsi="Calibri"/>
          <w:sz w:val="22"/>
        </w:rPr>
        <w:t>Stronger cooling profile than thin-and-light alternatives supports sustained data-processing tasks on large customs datasets.</w:t>
      </w:r>
    </w:p>
    <w:p>
      <w:pPr>
        <w:pStyle w:val="ListBullet"/>
        <w:spacing w:after="60"/>
      </w:pPr>
      <w:r>
        <w:rPr>
          <w:rFonts w:ascii="Calibri" w:hAnsi="Calibri"/>
          <w:sz w:val="22"/>
        </w:rPr>
        <w:t>Best price-to-performance ratio in the fleet, allowing budget to be redirected to higher tiers where it is more impactful.</w:t>
      </w:r>
    </w:p>
    <w:p>
      <w:pPr>
        <w:spacing w:before="280" w:after="120"/>
      </w:pPr>
      <w:r>
        <w:rPr>
          <w:rFonts w:ascii="Calibri" w:hAnsi="Calibri"/>
          <w:b/>
          <w:color w:val="1F3A68"/>
          <w:sz w:val="30"/>
        </w:rPr>
        <w:t>6. Consolidated Procurement Plan</w:t>
      </w:r>
    </w:p>
    <w:p>
      <w:pPr>
        <w:spacing w:after="120"/>
      </w:pPr>
      <w:r>
        <w:rPr>
          <w:rFonts w:ascii="Calibri" w:hAnsi="Calibri"/>
          <w:b w:val="0"/>
          <w:i w:val="0"/>
          <w:color w:val="1A1A1A"/>
          <w:sz w:val="22"/>
        </w:rPr>
        <w:t>The table below consolidates the recommended models, quantities and key configuration targets across the seven teams. Final unit pricing should be confirmed with authorised regional vendors at the point of order.</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2551"/>
            <w:shd w:val="clear" w:color="auto" w:fill="1F3A68"/>
            <w:tcBorders>
              <w:top w:val="single" w:sz="6" w:color="1F3A68"/>
              <w:left w:val="single" w:sz="6" w:color="1F3A68"/>
              <w:bottom w:val="single" w:sz="6" w:color="1F3A68"/>
              <w:right w:val="single" w:sz="6" w:color="1F3A68"/>
            </w:tcBorders>
            <w:vAlign w:val="center"/>
          </w:tcPr>
          <w:p>
            <w:pPr>
              <w:jc w:val="left"/>
            </w:pPr>
            <w:r/>
            <w:r>
              <w:rPr>
                <w:rFonts w:ascii="Calibri" w:hAnsi="Calibri"/>
                <w:b/>
                <w:color w:val="FFFFFF"/>
                <w:sz w:val="21"/>
              </w:rPr>
              <w:t>Team / Unit</w:t>
            </w:r>
          </w:p>
        </w:tc>
        <w:tc>
          <w:tcPr>
            <w:tcW w:type="dxa" w:w="2835"/>
            <w:shd w:val="clear" w:color="auto" w:fill="1F3A68"/>
            <w:tcBorders>
              <w:top w:val="single" w:sz="6" w:color="1F3A68"/>
              <w:left w:val="single" w:sz="6" w:color="1F3A68"/>
              <w:bottom w:val="single" w:sz="6" w:color="1F3A68"/>
              <w:right w:val="single" w:sz="6" w:color="1F3A68"/>
            </w:tcBorders>
            <w:vAlign w:val="center"/>
          </w:tcPr>
          <w:p>
            <w:pPr>
              <w:jc w:val="left"/>
            </w:pPr>
            <w:r/>
            <w:r>
              <w:rPr>
                <w:rFonts w:ascii="Calibri" w:hAnsi="Calibri"/>
                <w:b/>
                <w:color w:val="FFFFFF"/>
                <w:sz w:val="21"/>
              </w:rPr>
              <w:t>Recommended Model</w:t>
            </w:r>
          </w:p>
        </w:tc>
        <w:tc>
          <w:tcPr>
            <w:tcW w:type="dxa" w:w="1361"/>
            <w:shd w:val="clear" w:color="auto" w:fill="1F3A68"/>
            <w:tcBorders>
              <w:top w:val="single" w:sz="6" w:color="1F3A68"/>
              <w:left w:val="single" w:sz="6" w:color="1F3A68"/>
              <w:bottom w:val="single" w:sz="6" w:color="1F3A68"/>
              <w:right w:val="single" w:sz="6" w:color="1F3A68"/>
            </w:tcBorders>
            <w:vAlign w:val="center"/>
          </w:tcPr>
          <w:p>
            <w:pPr>
              <w:jc w:val="left"/>
            </w:pPr>
            <w:r/>
            <w:r>
              <w:rPr>
                <w:rFonts w:ascii="Calibri" w:hAnsi="Calibri"/>
                <w:b/>
                <w:color w:val="FFFFFF"/>
                <w:sz w:val="21"/>
              </w:rPr>
              <w:t>Tier</w:t>
            </w:r>
          </w:p>
        </w:tc>
        <w:tc>
          <w:tcPr>
            <w:tcW w:type="dxa" w:w="680"/>
            <w:shd w:val="clear" w:color="auto" w:fill="1F3A68"/>
            <w:tcBorders>
              <w:top w:val="single" w:sz="6" w:color="1F3A68"/>
              <w:left w:val="single" w:sz="6" w:color="1F3A68"/>
              <w:bottom w:val="single" w:sz="6" w:color="1F3A68"/>
              <w:right w:val="single" w:sz="6" w:color="1F3A68"/>
            </w:tcBorders>
            <w:vAlign w:val="center"/>
          </w:tcPr>
          <w:p>
            <w:pPr>
              <w:jc w:val="left"/>
            </w:pPr>
            <w:r/>
            <w:r>
              <w:rPr>
                <w:rFonts w:ascii="Calibri" w:hAnsi="Calibri"/>
                <w:b/>
                <w:color w:val="FFFFFF"/>
                <w:sz w:val="21"/>
              </w:rPr>
              <w:t>Qty</w:t>
            </w:r>
          </w:p>
        </w:tc>
        <w:tc>
          <w:tcPr>
            <w:tcW w:type="dxa" w:w="3118"/>
            <w:shd w:val="clear" w:color="auto" w:fill="1F3A68"/>
            <w:tcBorders>
              <w:top w:val="single" w:sz="6" w:color="1F3A68"/>
              <w:left w:val="single" w:sz="6" w:color="1F3A68"/>
              <w:bottom w:val="single" w:sz="6" w:color="1F3A68"/>
              <w:right w:val="single" w:sz="6" w:color="1F3A68"/>
            </w:tcBorders>
            <w:vAlign w:val="center"/>
          </w:tcPr>
          <w:p>
            <w:pPr>
              <w:jc w:val="left"/>
            </w:pPr>
            <w:r/>
            <w:r>
              <w:rPr>
                <w:rFonts w:ascii="Calibri" w:hAnsi="Calibri"/>
                <w:b/>
                <w:color w:val="FFFFFF"/>
                <w:sz w:val="21"/>
              </w:rPr>
              <w:t>Key Configuration</w:t>
            </w:r>
          </w:p>
        </w:tc>
      </w:tr>
      <w:tr>
        <w:tc>
          <w:tcPr>
            <w:tcW w:type="dxa" w:w="2551"/>
            <w:vAlign w:val="center"/>
            <w:tcBorders>
              <w:top w:val="single" w:sz="6" w:color="BFBFBF"/>
              <w:left w:val="single" w:sz="6" w:color="BFBFBF"/>
              <w:bottom w:val="single" w:sz="6" w:color="BFBFBF"/>
              <w:right w:val="single" w:sz="6" w:color="BFBFBF"/>
            </w:tcBorders>
          </w:tcPr>
          <w:p>
            <w:r/>
            <w:r>
              <w:rPr>
                <w:rFonts w:ascii="Calibri" w:hAnsi="Calibri"/>
                <w:sz w:val="20"/>
              </w:rPr>
              <w:t>Data Science</w:t>
            </w:r>
          </w:p>
        </w:tc>
        <w:tc>
          <w:tcPr>
            <w:tcW w:type="dxa" w:w="2835"/>
            <w:vAlign w:val="center"/>
            <w:tcBorders>
              <w:top w:val="single" w:sz="6" w:color="BFBFBF"/>
              <w:left w:val="single" w:sz="6" w:color="BFBFBF"/>
              <w:bottom w:val="single" w:sz="6" w:color="BFBFBF"/>
              <w:right w:val="single" w:sz="6" w:color="BFBFBF"/>
            </w:tcBorders>
          </w:tcPr>
          <w:p>
            <w:r/>
            <w:r>
              <w:rPr>
                <w:rFonts w:ascii="Calibri" w:hAnsi="Calibri"/>
                <w:sz w:val="20"/>
              </w:rPr>
              <w:t>ASUS ROG Zephyrus Duo (2026) GX651</w:t>
            </w:r>
          </w:p>
        </w:tc>
        <w:tc>
          <w:tcPr>
            <w:tcW w:type="dxa" w:w="1361"/>
            <w:vAlign w:val="center"/>
            <w:tcBorders>
              <w:top w:val="single" w:sz="6" w:color="BFBFBF"/>
              <w:left w:val="single" w:sz="6" w:color="BFBFBF"/>
              <w:bottom w:val="single" w:sz="6" w:color="BFBFBF"/>
              <w:right w:val="single" w:sz="6" w:color="BFBFBF"/>
            </w:tcBorders>
          </w:tcPr>
          <w:p>
            <w:r/>
            <w:r>
              <w:rPr>
                <w:rFonts w:ascii="Calibri" w:hAnsi="Calibri"/>
                <w:sz w:val="20"/>
              </w:rPr>
              <w:t>Pro</w:t>
            </w:r>
          </w:p>
        </w:tc>
        <w:tc>
          <w:tcPr>
            <w:tcW w:type="dxa" w:w="680"/>
            <w:vAlign w:val="center"/>
            <w:tcBorders>
              <w:top w:val="single" w:sz="6" w:color="BFBFBF"/>
              <w:left w:val="single" w:sz="6" w:color="BFBFBF"/>
              <w:bottom w:val="single" w:sz="6" w:color="BFBFBF"/>
              <w:right w:val="single" w:sz="6" w:color="BFBFBF"/>
            </w:tcBorders>
          </w:tcPr>
          <w:p>
            <w:r/>
            <w:r>
              <w:rPr>
                <w:rFonts w:ascii="Calibri" w:hAnsi="Calibri"/>
                <w:sz w:val="20"/>
              </w:rPr>
              <w:t>8</w:t>
            </w:r>
          </w:p>
        </w:tc>
        <w:tc>
          <w:tcPr>
            <w:tcW w:type="dxa" w:w="3118"/>
            <w:vAlign w:val="center"/>
            <w:tcBorders>
              <w:top w:val="single" w:sz="6" w:color="BFBFBF"/>
              <w:left w:val="single" w:sz="6" w:color="BFBFBF"/>
              <w:bottom w:val="single" w:sz="6" w:color="BFBFBF"/>
              <w:right w:val="single" w:sz="6" w:color="BFBFBF"/>
            </w:tcBorders>
          </w:tcPr>
          <w:p>
            <w:r/>
            <w:r>
              <w:rPr>
                <w:rFonts w:ascii="Calibri" w:hAnsi="Calibri"/>
                <w:sz w:val="20"/>
              </w:rPr>
              <w:t>RTX 5090 24 GB · 64 GB RAM · 2 TB NVMe</w:t>
            </w:r>
          </w:p>
        </w:tc>
      </w:tr>
      <w:tr>
        <w:tc>
          <w:tcPr>
            <w:tcW w:type="dxa" w:w="2551"/>
            <w:vAlign w:val="center"/>
            <w:shd w:val="clear" w:color="auto" w:fill="F2F5FA"/>
            <w:tcBorders>
              <w:top w:val="single" w:sz="6" w:color="BFBFBF"/>
              <w:left w:val="single" w:sz="6" w:color="BFBFBF"/>
              <w:bottom w:val="single" w:sz="6" w:color="BFBFBF"/>
              <w:right w:val="single" w:sz="6" w:color="BFBFBF"/>
            </w:tcBorders>
          </w:tcPr>
          <w:p>
            <w:r/>
            <w:r>
              <w:rPr>
                <w:rFonts w:ascii="Calibri" w:hAnsi="Calibri"/>
                <w:sz w:val="20"/>
              </w:rPr>
              <w:t>Data Science</w:t>
            </w:r>
          </w:p>
        </w:tc>
        <w:tc>
          <w:tcPr>
            <w:tcW w:type="dxa" w:w="2835"/>
            <w:vAlign w:val="center"/>
            <w:shd w:val="clear" w:color="auto" w:fill="F2F5FA"/>
            <w:tcBorders>
              <w:top w:val="single" w:sz="6" w:color="BFBFBF"/>
              <w:left w:val="single" w:sz="6" w:color="BFBFBF"/>
              <w:bottom w:val="single" w:sz="6" w:color="BFBFBF"/>
              <w:right w:val="single" w:sz="6" w:color="BFBFBF"/>
            </w:tcBorders>
          </w:tcPr>
          <w:p>
            <w:r/>
            <w:r>
              <w:rPr>
                <w:rFonts w:ascii="Calibri" w:hAnsi="Calibri"/>
                <w:sz w:val="20"/>
              </w:rPr>
              <w:t>MacBook Pro 16" (M5 Max)</w:t>
            </w:r>
          </w:p>
        </w:tc>
        <w:tc>
          <w:tcPr>
            <w:tcW w:type="dxa" w:w="1361"/>
            <w:vAlign w:val="center"/>
            <w:shd w:val="clear" w:color="auto" w:fill="F2F5FA"/>
            <w:tcBorders>
              <w:top w:val="single" w:sz="6" w:color="BFBFBF"/>
              <w:left w:val="single" w:sz="6" w:color="BFBFBF"/>
              <w:bottom w:val="single" w:sz="6" w:color="BFBFBF"/>
              <w:right w:val="single" w:sz="6" w:color="BFBFBF"/>
            </w:tcBorders>
          </w:tcPr>
          <w:p>
            <w:r/>
            <w:r>
              <w:rPr>
                <w:rFonts w:ascii="Calibri" w:hAnsi="Calibri"/>
                <w:sz w:val="20"/>
              </w:rPr>
              <w:t>Pro</w:t>
            </w:r>
          </w:p>
        </w:tc>
        <w:tc>
          <w:tcPr>
            <w:tcW w:type="dxa" w:w="680"/>
            <w:vAlign w:val="center"/>
            <w:shd w:val="clear" w:color="auto" w:fill="F2F5FA"/>
            <w:tcBorders>
              <w:top w:val="single" w:sz="6" w:color="BFBFBF"/>
              <w:left w:val="single" w:sz="6" w:color="BFBFBF"/>
              <w:bottom w:val="single" w:sz="6" w:color="BFBFBF"/>
              <w:right w:val="single" w:sz="6" w:color="BFBFBF"/>
            </w:tcBorders>
          </w:tcPr>
          <w:p>
            <w:r/>
            <w:r>
              <w:rPr>
                <w:rFonts w:ascii="Calibri" w:hAnsi="Calibri"/>
                <w:sz w:val="20"/>
              </w:rPr>
              <w:t>3</w:t>
            </w:r>
          </w:p>
        </w:tc>
        <w:tc>
          <w:tcPr>
            <w:tcW w:type="dxa" w:w="3118"/>
            <w:vAlign w:val="center"/>
            <w:shd w:val="clear" w:color="auto" w:fill="F2F5FA"/>
            <w:tcBorders>
              <w:top w:val="single" w:sz="6" w:color="BFBFBF"/>
              <w:left w:val="single" w:sz="6" w:color="BFBFBF"/>
              <w:bottom w:val="single" w:sz="6" w:color="BFBFBF"/>
              <w:right w:val="single" w:sz="6" w:color="BFBFBF"/>
            </w:tcBorders>
          </w:tcPr>
          <w:p>
            <w:r/>
            <w:r>
              <w:rPr>
                <w:rFonts w:ascii="Calibri" w:hAnsi="Calibri"/>
                <w:sz w:val="20"/>
              </w:rPr>
              <w:t>M5 Max · 128 GB unified · 2 TB SSD</w:t>
            </w:r>
          </w:p>
        </w:tc>
      </w:tr>
      <w:tr>
        <w:tc>
          <w:tcPr>
            <w:tcW w:type="dxa" w:w="2551"/>
            <w:vAlign w:val="center"/>
            <w:tcBorders>
              <w:top w:val="single" w:sz="6" w:color="BFBFBF"/>
              <w:left w:val="single" w:sz="6" w:color="BFBFBF"/>
              <w:bottom w:val="single" w:sz="6" w:color="BFBFBF"/>
              <w:right w:val="single" w:sz="6" w:color="BFBFBF"/>
            </w:tcBorders>
          </w:tcPr>
          <w:p>
            <w:r/>
            <w:r>
              <w:rPr>
                <w:rFonts w:ascii="Calibri" w:hAnsi="Calibri"/>
                <w:sz w:val="20"/>
              </w:rPr>
              <w:t>Revenue Modeling and Statistics</w:t>
            </w:r>
          </w:p>
        </w:tc>
        <w:tc>
          <w:tcPr>
            <w:tcW w:type="dxa" w:w="2835"/>
            <w:vAlign w:val="center"/>
            <w:tcBorders>
              <w:top w:val="single" w:sz="6" w:color="BFBFBF"/>
              <w:left w:val="single" w:sz="6" w:color="BFBFBF"/>
              <w:bottom w:val="single" w:sz="6" w:color="BFBFBF"/>
              <w:right w:val="single" w:sz="6" w:color="BFBFBF"/>
            </w:tcBorders>
          </w:tcPr>
          <w:p>
            <w:r/>
            <w:r>
              <w:rPr>
                <w:rFonts w:ascii="Calibri" w:hAnsi="Calibri"/>
                <w:sz w:val="20"/>
              </w:rPr>
              <w:t>Lenovo Legion Pro 7i Gen 10</w:t>
            </w:r>
          </w:p>
        </w:tc>
        <w:tc>
          <w:tcPr>
            <w:tcW w:type="dxa" w:w="1361"/>
            <w:vAlign w:val="center"/>
            <w:tcBorders>
              <w:top w:val="single" w:sz="6" w:color="BFBFBF"/>
              <w:left w:val="single" w:sz="6" w:color="BFBFBF"/>
              <w:bottom w:val="single" w:sz="6" w:color="BFBFBF"/>
              <w:right w:val="single" w:sz="6" w:color="BFBFBF"/>
            </w:tcBorders>
          </w:tcPr>
          <w:p>
            <w:r/>
            <w:r>
              <w:rPr>
                <w:rFonts w:ascii="Calibri" w:hAnsi="Calibri"/>
                <w:sz w:val="20"/>
              </w:rPr>
              <w:t>Recommended</w:t>
            </w:r>
          </w:p>
        </w:tc>
        <w:tc>
          <w:tcPr>
            <w:tcW w:type="dxa" w:w="680"/>
            <w:vAlign w:val="center"/>
            <w:tcBorders>
              <w:top w:val="single" w:sz="6" w:color="BFBFBF"/>
              <w:left w:val="single" w:sz="6" w:color="BFBFBF"/>
              <w:bottom w:val="single" w:sz="6" w:color="BFBFBF"/>
              <w:right w:val="single" w:sz="6" w:color="BFBFBF"/>
            </w:tcBorders>
          </w:tcPr>
          <w:p>
            <w:r/>
            <w:r>
              <w:rPr>
                <w:rFonts w:ascii="Calibri" w:hAnsi="Calibri"/>
                <w:sz w:val="20"/>
              </w:rPr>
              <w:t>6</w:t>
            </w:r>
          </w:p>
        </w:tc>
        <w:tc>
          <w:tcPr>
            <w:tcW w:type="dxa" w:w="3118"/>
            <w:vAlign w:val="center"/>
            <w:tcBorders>
              <w:top w:val="single" w:sz="6" w:color="BFBFBF"/>
              <w:left w:val="single" w:sz="6" w:color="BFBFBF"/>
              <w:bottom w:val="single" w:sz="6" w:color="BFBFBF"/>
              <w:right w:val="single" w:sz="6" w:color="BFBFBF"/>
            </w:tcBorders>
          </w:tcPr>
          <w:p>
            <w:r/>
            <w:r>
              <w:rPr>
                <w:rFonts w:ascii="Calibri" w:hAnsi="Calibri"/>
                <w:sz w:val="20"/>
              </w:rPr>
              <w:t>RTX 5080 16 GB · 64 GB RAM · 2 TB NVMe</w:t>
            </w:r>
          </w:p>
        </w:tc>
      </w:tr>
      <w:tr>
        <w:tc>
          <w:tcPr>
            <w:tcW w:type="dxa" w:w="2551"/>
            <w:vAlign w:val="center"/>
            <w:shd w:val="clear" w:color="auto" w:fill="F2F5FA"/>
            <w:tcBorders>
              <w:top w:val="single" w:sz="6" w:color="BFBFBF"/>
              <w:left w:val="single" w:sz="6" w:color="BFBFBF"/>
              <w:bottom w:val="single" w:sz="6" w:color="BFBFBF"/>
              <w:right w:val="single" w:sz="6" w:color="BFBFBF"/>
            </w:tcBorders>
          </w:tcPr>
          <w:p>
            <w:r/>
            <w:r>
              <w:rPr>
                <w:rFonts w:ascii="Calibri" w:hAnsi="Calibri"/>
                <w:sz w:val="20"/>
              </w:rPr>
              <w:t>Tax Analysis &amp; Revenue Forecasting</w:t>
            </w:r>
          </w:p>
        </w:tc>
        <w:tc>
          <w:tcPr>
            <w:tcW w:type="dxa" w:w="2835"/>
            <w:vAlign w:val="center"/>
            <w:shd w:val="clear" w:color="auto" w:fill="F2F5FA"/>
            <w:tcBorders>
              <w:top w:val="single" w:sz="6" w:color="BFBFBF"/>
              <w:left w:val="single" w:sz="6" w:color="BFBFBF"/>
              <w:bottom w:val="single" w:sz="6" w:color="BFBFBF"/>
              <w:right w:val="single" w:sz="6" w:color="BFBFBF"/>
            </w:tcBorders>
          </w:tcPr>
          <w:p>
            <w:r/>
            <w:r>
              <w:rPr>
                <w:rFonts w:ascii="Calibri" w:hAnsi="Calibri"/>
                <w:sz w:val="20"/>
              </w:rPr>
              <w:t>ASUS ROG Zephyrus G14 (2025)</w:t>
            </w:r>
          </w:p>
        </w:tc>
        <w:tc>
          <w:tcPr>
            <w:tcW w:type="dxa" w:w="1361"/>
            <w:vAlign w:val="center"/>
            <w:shd w:val="clear" w:color="auto" w:fill="F2F5FA"/>
            <w:tcBorders>
              <w:top w:val="single" w:sz="6" w:color="BFBFBF"/>
              <w:left w:val="single" w:sz="6" w:color="BFBFBF"/>
              <w:bottom w:val="single" w:sz="6" w:color="BFBFBF"/>
              <w:right w:val="single" w:sz="6" w:color="BFBFBF"/>
            </w:tcBorders>
          </w:tcPr>
          <w:p>
            <w:r/>
            <w:r>
              <w:rPr>
                <w:rFonts w:ascii="Calibri" w:hAnsi="Calibri"/>
                <w:sz w:val="20"/>
              </w:rPr>
              <w:t>Recommended</w:t>
            </w:r>
          </w:p>
        </w:tc>
        <w:tc>
          <w:tcPr>
            <w:tcW w:type="dxa" w:w="680"/>
            <w:vAlign w:val="center"/>
            <w:shd w:val="clear" w:color="auto" w:fill="F2F5FA"/>
            <w:tcBorders>
              <w:top w:val="single" w:sz="6" w:color="BFBFBF"/>
              <w:left w:val="single" w:sz="6" w:color="BFBFBF"/>
              <w:bottom w:val="single" w:sz="6" w:color="BFBFBF"/>
              <w:right w:val="single" w:sz="6" w:color="BFBFBF"/>
            </w:tcBorders>
          </w:tcPr>
          <w:p>
            <w:r/>
            <w:r>
              <w:rPr>
                <w:rFonts w:ascii="Calibri" w:hAnsi="Calibri"/>
                <w:sz w:val="20"/>
              </w:rPr>
              <w:t>4</w:t>
            </w:r>
          </w:p>
        </w:tc>
        <w:tc>
          <w:tcPr>
            <w:tcW w:type="dxa" w:w="3118"/>
            <w:vAlign w:val="center"/>
            <w:shd w:val="clear" w:color="auto" w:fill="F2F5FA"/>
            <w:tcBorders>
              <w:top w:val="single" w:sz="6" w:color="BFBFBF"/>
              <w:left w:val="single" w:sz="6" w:color="BFBFBF"/>
              <w:bottom w:val="single" w:sz="6" w:color="BFBFBF"/>
              <w:right w:val="single" w:sz="6" w:color="BFBFBF"/>
            </w:tcBorders>
          </w:tcPr>
          <w:p>
            <w:r/>
            <w:r>
              <w:rPr>
                <w:rFonts w:ascii="Calibri" w:hAnsi="Calibri"/>
                <w:sz w:val="20"/>
              </w:rPr>
              <w:t>RTX 5070 Ti · 32 GB RAM · 1 TB NVMe</w:t>
            </w:r>
          </w:p>
        </w:tc>
      </w:tr>
      <w:tr>
        <w:tc>
          <w:tcPr>
            <w:tcW w:type="dxa" w:w="2551"/>
            <w:vAlign w:val="center"/>
            <w:tcBorders>
              <w:top w:val="single" w:sz="6" w:color="BFBFBF"/>
              <w:left w:val="single" w:sz="6" w:color="BFBFBF"/>
              <w:bottom w:val="single" w:sz="6" w:color="BFBFBF"/>
              <w:right w:val="single" w:sz="6" w:color="BFBFBF"/>
            </w:tcBorders>
          </w:tcPr>
          <w:p>
            <w:r/>
            <w:r>
              <w:rPr>
                <w:rFonts w:ascii="Calibri" w:hAnsi="Calibri"/>
                <w:sz w:val="20"/>
              </w:rPr>
              <w:t>Data Governance</w:t>
            </w:r>
          </w:p>
        </w:tc>
        <w:tc>
          <w:tcPr>
            <w:tcW w:type="dxa" w:w="2835"/>
            <w:vAlign w:val="center"/>
            <w:tcBorders>
              <w:top w:val="single" w:sz="6" w:color="BFBFBF"/>
              <w:left w:val="single" w:sz="6" w:color="BFBFBF"/>
              <w:bottom w:val="single" w:sz="6" w:color="BFBFBF"/>
              <w:right w:val="single" w:sz="6" w:color="BFBFBF"/>
            </w:tcBorders>
          </w:tcPr>
          <w:p>
            <w:r/>
            <w:r>
              <w:rPr>
                <w:rFonts w:ascii="Calibri" w:hAnsi="Calibri"/>
                <w:sz w:val="20"/>
              </w:rPr>
              <w:t>Lenovo ThinkPad P1 Gen 7</w:t>
            </w:r>
          </w:p>
        </w:tc>
        <w:tc>
          <w:tcPr>
            <w:tcW w:type="dxa" w:w="1361"/>
            <w:vAlign w:val="center"/>
            <w:tcBorders>
              <w:top w:val="single" w:sz="6" w:color="BFBFBF"/>
              <w:left w:val="single" w:sz="6" w:color="BFBFBF"/>
              <w:bottom w:val="single" w:sz="6" w:color="BFBFBF"/>
              <w:right w:val="single" w:sz="6" w:color="BFBFBF"/>
            </w:tcBorders>
          </w:tcPr>
          <w:p>
            <w:r/>
            <w:r>
              <w:rPr>
                <w:rFonts w:ascii="Calibri" w:hAnsi="Calibri"/>
                <w:sz w:val="20"/>
              </w:rPr>
              <w:t>Standard</w:t>
            </w:r>
          </w:p>
        </w:tc>
        <w:tc>
          <w:tcPr>
            <w:tcW w:type="dxa" w:w="680"/>
            <w:vAlign w:val="center"/>
            <w:tcBorders>
              <w:top w:val="single" w:sz="6" w:color="BFBFBF"/>
              <w:left w:val="single" w:sz="6" w:color="BFBFBF"/>
              <w:bottom w:val="single" w:sz="6" w:color="BFBFBF"/>
              <w:right w:val="single" w:sz="6" w:color="BFBFBF"/>
            </w:tcBorders>
          </w:tcPr>
          <w:p>
            <w:r/>
            <w:r>
              <w:rPr>
                <w:rFonts w:ascii="Calibri" w:hAnsi="Calibri"/>
                <w:sz w:val="20"/>
              </w:rPr>
              <w:t>4</w:t>
            </w:r>
          </w:p>
        </w:tc>
        <w:tc>
          <w:tcPr>
            <w:tcW w:type="dxa" w:w="3118"/>
            <w:vAlign w:val="center"/>
            <w:tcBorders>
              <w:top w:val="single" w:sz="6" w:color="BFBFBF"/>
              <w:left w:val="single" w:sz="6" w:color="BFBFBF"/>
              <w:bottom w:val="single" w:sz="6" w:color="BFBFBF"/>
              <w:right w:val="single" w:sz="6" w:color="BFBFBF"/>
            </w:tcBorders>
          </w:tcPr>
          <w:p>
            <w:r/>
            <w:r>
              <w:rPr>
                <w:rFonts w:ascii="Calibri" w:hAnsi="Calibri"/>
                <w:sz w:val="20"/>
              </w:rPr>
              <w:t>Entry RTX · 32 GB RAM · 1 TB NVMe</w:t>
            </w:r>
          </w:p>
        </w:tc>
      </w:tr>
      <w:tr>
        <w:tc>
          <w:tcPr>
            <w:tcW w:type="dxa" w:w="2551"/>
            <w:vAlign w:val="center"/>
            <w:shd w:val="clear" w:color="auto" w:fill="F2F5FA"/>
            <w:tcBorders>
              <w:top w:val="single" w:sz="6" w:color="BFBFBF"/>
              <w:left w:val="single" w:sz="6" w:color="BFBFBF"/>
              <w:bottom w:val="single" w:sz="6" w:color="BFBFBF"/>
              <w:right w:val="single" w:sz="6" w:color="BFBFBF"/>
            </w:tcBorders>
          </w:tcPr>
          <w:p>
            <w:r/>
            <w:r>
              <w:rPr>
                <w:rFonts w:ascii="Calibri" w:hAnsi="Calibri"/>
                <w:sz w:val="20"/>
              </w:rPr>
              <w:t>Research and Policy Analysis</w:t>
            </w:r>
          </w:p>
        </w:tc>
        <w:tc>
          <w:tcPr>
            <w:tcW w:type="dxa" w:w="2835"/>
            <w:vAlign w:val="center"/>
            <w:shd w:val="clear" w:color="auto" w:fill="F2F5FA"/>
            <w:tcBorders>
              <w:top w:val="single" w:sz="6" w:color="BFBFBF"/>
              <w:left w:val="single" w:sz="6" w:color="BFBFBF"/>
              <w:bottom w:val="single" w:sz="6" w:color="BFBFBF"/>
              <w:right w:val="single" w:sz="6" w:color="BFBFBF"/>
            </w:tcBorders>
          </w:tcPr>
          <w:p>
            <w:r/>
            <w:r>
              <w:rPr>
                <w:rFonts w:ascii="Calibri" w:hAnsi="Calibri"/>
                <w:sz w:val="20"/>
              </w:rPr>
              <w:t>Dell XPS 16 (9640)</w:t>
            </w:r>
          </w:p>
        </w:tc>
        <w:tc>
          <w:tcPr>
            <w:tcW w:type="dxa" w:w="1361"/>
            <w:vAlign w:val="center"/>
            <w:shd w:val="clear" w:color="auto" w:fill="F2F5FA"/>
            <w:tcBorders>
              <w:top w:val="single" w:sz="6" w:color="BFBFBF"/>
              <w:left w:val="single" w:sz="6" w:color="BFBFBF"/>
              <w:bottom w:val="single" w:sz="6" w:color="BFBFBF"/>
              <w:right w:val="single" w:sz="6" w:color="BFBFBF"/>
            </w:tcBorders>
          </w:tcPr>
          <w:p>
            <w:r/>
            <w:r>
              <w:rPr>
                <w:rFonts w:ascii="Calibri" w:hAnsi="Calibri"/>
                <w:sz w:val="20"/>
              </w:rPr>
              <w:t>Recommended</w:t>
            </w:r>
          </w:p>
        </w:tc>
        <w:tc>
          <w:tcPr>
            <w:tcW w:type="dxa" w:w="680"/>
            <w:vAlign w:val="center"/>
            <w:shd w:val="clear" w:color="auto" w:fill="F2F5FA"/>
            <w:tcBorders>
              <w:top w:val="single" w:sz="6" w:color="BFBFBF"/>
              <w:left w:val="single" w:sz="6" w:color="BFBFBF"/>
              <w:bottom w:val="single" w:sz="6" w:color="BFBFBF"/>
              <w:right w:val="single" w:sz="6" w:color="BFBFBF"/>
            </w:tcBorders>
          </w:tcPr>
          <w:p>
            <w:r/>
            <w:r>
              <w:rPr>
                <w:rFonts w:ascii="Calibri" w:hAnsi="Calibri"/>
                <w:sz w:val="20"/>
              </w:rPr>
              <w:t>8</w:t>
            </w:r>
          </w:p>
        </w:tc>
        <w:tc>
          <w:tcPr>
            <w:tcW w:type="dxa" w:w="3118"/>
            <w:vAlign w:val="center"/>
            <w:shd w:val="clear" w:color="auto" w:fill="F2F5FA"/>
            <w:tcBorders>
              <w:top w:val="single" w:sz="6" w:color="BFBFBF"/>
              <w:left w:val="single" w:sz="6" w:color="BFBFBF"/>
              <w:bottom w:val="single" w:sz="6" w:color="BFBFBF"/>
              <w:right w:val="single" w:sz="6" w:color="BFBFBF"/>
            </w:tcBorders>
          </w:tcPr>
          <w:p>
            <w:r/>
            <w:r>
              <w:rPr>
                <w:rFonts w:ascii="Calibri" w:hAnsi="Calibri"/>
                <w:sz w:val="20"/>
              </w:rPr>
              <w:t>RTX 4060 · 32 GB RAM · 1 TB NVMe</w:t>
            </w:r>
          </w:p>
        </w:tc>
      </w:tr>
      <w:tr>
        <w:tc>
          <w:tcPr>
            <w:tcW w:type="dxa" w:w="2551"/>
            <w:vAlign w:val="center"/>
            <w:tcBorders>
              <w:top w:val="single" w:sz="6" w:color="BFBFBF"/>
              <w:left w:val="single" w:sz="6" w:color="BFBFBF"/>
              <w:bottom w:val="single" w:sz="6" w:color="BFBFBF"/>
              <w:right w:val="single" w:sz="6" w:color="BFBFBF"/>
            </w:tcBorders>
          </w:tcPr>
          <w:p>
            <w:r/>
            <w:r>
              <w:rPr>
                <w:rFonts w:ascii="Calibri" w:hAnsi="Calibri"/>
                <w:sz w:val="20"/>
              </w:rPr>
              <w:t>EBM Data Analysis</w:t>
            </w:r>
          </w:p>
        </w:tc>
        <w:tc>
          <w:tcPr>
            <w:tcW w:type="dxa" w:w="2835"/>
            <w:vAlign w:val="center"/>
            <w:tcBorders>
              <w:top w:val="single" w:sz="6" w:color="BFBFBF"/>
              <w:left w:val="single" w:sz="6" w:color="BFBFBF"/>
              <w:bottom w:val="single" w:sz="6" w:color="BFBFBF"/>
              <w:right w:val="single" w:sz="6" w:color="BFBFBF"/>
            </w:tcBorders>
          </w:tcPr>
          <w:p>
            <w:r/>
            <w:r>
              <w:rPr>
                <w:rFonts w:ascii="Calibri" w:hAnsi="Calibri"/>
                <w:sz w:val="20"/>
              </w:rPr>
              <w:t>Dell XPS 16 (9640)</w:t>
            </w:r>
          </w:p>
        </w:tc>
        <w:tc>
          <w:tcPr>
            <w:tcW w:type="dxa" w:w="1361"/>
            <w:vAlign w:val="center"/>
            <w:tcBorders>
              <w:top w:val="single" w:sz="6" w:color="BFBFBF"/>
              <w:left w:val="single" w:sz="6" w:color="BFBFBF"/>
              <w:bottom w:val="single" w:sz="6" w:color="BFBFBF"/>
              <w:right w:val="single" w:sz="6" w:color="BFBFBF"/>
            </w:tcBorders>
          </w:tcPr>
          <w:p>
            <w:r/>
            <w:r>
              <w:rPr>
                <w:rFonts w:ascii="Calibri" w:hAnsi="Calibri"/>
                <w:sz w:val="20"/>
              </w:rPr>
              <w:t>Standard</w:t>
            </w:r>
          </w:p>
        </w:tc>
        <w:tc>
          <w:tcPr>
            <w:tcW w:type="dxa" w:w="680"/>
            <w:vAlign w:val="center"/>
            <w:tcBorders>
              <w:top w:val="single" w:sz="6" w:color="BFBFBF"/>
              <w:left w:val="single" w:sz="6" w:color="BFBFBF"/>
              <w:bottom w:val="single" w:sz="6" w:color="BFBFBF"/>
              <w:right w:val="single" w:sz="6" w:color="BFBFBF"/>
            </w:tcBorders>
          </w:tcPr>
          <w:p>
            <w:r/>
            <w:r>
              <w:rPr>
                <w:rFonts w:ascii="Calibri" w:hAnsi="Calibri"/>
                <w:sz w:val="20"/>
              </w:rPr>
              <w:t>5</w:t>
            </w:r>
          </w:p>
        </w:tc>
        <w:tc>
          <w:tcPr>
            <w:tcW w:type="dxa" w:w="3118"/>
            <w:vAlign w:val="center"/>
            <w:tcBorders>
              <w:top w:val="single" w:sz="6" w:color="BFBFBF"/>
              <w:left w:val="single" w:sz="6" w:color="BFBFBF"/>
              <w:bottom w:val="single" w:sz="6" w:color="BFBFBF"/>
              <w:right w:val="single" w:sz="6" w:color="BFBFBF"/>
            </w:tcBorders>
          </w:tcPr>
          <w:p>
            <w:r/>
            <w:r>
              <w:rPr>
                <w:rFonts w:ascii="Calibri" w:hAnsi="Calibri"/>
                <w:sz w:val="20"/>
              </w:rPr>
              <w:t>Integrated/RTX 4050 · 32 GB RAM · 1 TB NVMe</w:t>
            </w:r>
          </w:p>
        </w:tc>
      </w:tr>
      <w:tr>
        <w:tc>
          <w:tcPr>
            <w:tcW w:type="dxa" w:w="2551"/>
            <w:vAlign w:val="center"/>
            <w:shd w:val="clear" w:color="auto" w:fill="F2F5FA"/>
            <w:tcBorders>
              <w:top w:val="single" w:sz="6" w:color="BFBFBF"/>
              <w:left w:val="single" w:sz="6" w:color="BFBFBF"/>
              <w:bottom w:val="single" w:sz="6" w:color="BFBFBF"/>
              <w:right w:val="single" w:sz="6" w:color="BFBFBF"/>
            </w:tcBorders>
          </w:tcPr>
          <w:p>
            <w:r/>
            <w:r>
              <w:rPr>
                <w:rFonts w:ascii="Calibri" w:hAnsi="Calibri"/>
                <w:sz w:val="20"/>
              </w:rPr>
              <w:t>Statistics Customs</w:t>
            </w:r>
          </w:p>
        </w:tc>
        <w:tc>
          <w:tcPr>
            <w:tcW w:type="dxa" w:w="2835"/>
            <w:vAlign w:val="center"/>
            <w:shd w:val="clear" w:color="auto" w:fill="F2F5FA"/>
            <w:tcBorders>
              <w:top w:val="single" w:sz="6" w:color="BFBFBF"/>
              <w:left w:val="single" w:sz="6" w:color="BFBFBF"/>
              <w:bottom w:val="single" w:sz="6" w:color="BFBFBF"/>
              <w:right w:val="single" w:sz="6" w:color="BFBFBF"/>
            </w:tcBorders>
          </w:tcPr>
          <w:p>
            <w:r/>
            <w:r>
              <w:rPr>
                <w:rFonts w:ascii="Calibri" w:hAnsi="Calibri"/>
                <w:sz w:val="20"/>
              </w:rPr>
              <w:t>ASUS TUF Gaming A16 (2025)</w:t>
            </w:r>
          </w:p>
        </w:tc>
        <w:tc>
          <w:tcPr>
            <w:tcW w:type="dxa" w:w="1361"/>
            <w:vAlign w:val="center"/>
            <w:shd w:val="clear" w:color="auto" w:fill="F2F5FA"/>
            <w:tcBorders>
              <w:top w:val="single" w:sz="6" w:color="BFBFBF"/>
              <w:left w:val="single" w:sz="6" w:color="BFBFBF"/>
              <w:bottom w:val="single" w:sz="6" w:color="BFBFBF"/>
              <w:right w:val="single" w:sz="6" w:color="BFBFBF"/>
            </w:tcBorders>
          </w:tcPr>
          <w:p>
            <w:r/>
            <w:r>
              <w:rPr>
                <w:rFonts w:ascii="Calibri" w:hAnsi="Calibri"/>
                <w:sz w:val="20"/>
              </w:rPr>
              <w:t>Standard</w:t>
            </w:r>
          </w:p>
        </w:tc>
        <w:tc>
          <w:tcPr>
            <w:tcW w:type="dxa" w:w="680"/>
            <w:vAlign w:val="center"/>
            <w:shd w:val="clear" w:color="auto" w:fill="F2F5FA"/>
            <w:tcBorders>
              <w:top w:val="single" w:sz="6" w:color="BFBFBF"/>
              <w:left w:val="single" w:sz="6" w:color="BFBFBF"/>
              <w:bottom w:val="single" w:sz="6" w:color="BFBFBF"/>
              <w:right w:val="single" w:sz="6" w:color="BFBFBF"/>
            </w:tcBorders>
          </w:tcPr>
          <w:p>
            <w:r/>
            <w:r>
              <w:rPr>
                <w:rFonts w:ascii="Calibri" w:hAnsi="Calibri"/>
                <w:sz w:val="20"/>
              </w:rPr>
              <w:t>3</w:t>
            </w:r>
          </w:p>
        </w:tc>
        <w:tc>
          <w:tcPr>
            <w:tcW w:type="dxa" w:w="3118"/>
            <w:vAlign w:val="center"/>
            <w:shd w:val="clear" w:color="auto" w:fill="F2F5FA"/>
            <w:tcBorders>
              <w:top w:val="single" w:sz="6" w:color="BFBFBF"/>
              <w:left w:val="single" w:sz="6" w:color="BFBFBF"/>
              <w:bottom w:val="single" w:sz="6" w:color="BFBFBF"/>
              <w:right w:val="single" w:sz="6" w:color="BFBFBF"/>
            </w:tcBorders>
          </w:tcPr>
          <w:p>
            <w:r/>
            <w:r>
              <w:rPr>
                <w:rFonts w:ascii="Calibri" w:hAnsi="Calibri"/>
                <w:sz w:val="20"/>
              </w:rPr>
              <w:t>RTX 5060 · 32 GB RAM · 1 TB NVMe</w:t>
            </w:r>
          </w:p>
        </w:tc>
      </w:tr>
      <w:tr>
        <w:tc>
          <w:tcPr>
            <w:tcW w:type="dxa" w:w="2551"/>
            <w:vAlign w:val="center"/>
            <w:tcBorders>
              <w:top w:val="single" w:sz="6" w:color="BFBFBF"/>
              <w:left w:val="single" w:sz="6" w:color="BFBFBF"/>
              <w:bottom w:val="single" w:sz="6" w:color="BFBFBF"/>
              <w:right w:val="single" w:sz="6" w:color="BFBFBF"/>
            </w:tcBorders>
          </w:tcPr>
          <w:p>
            <w:r/>
            <w:r>
              <w:rPr>
                <w:rFonts w:ascii="Calibri" w:hAnsi="Calibri"/>
                <w:sz w:val="20"/>
              </w:rPr>
              <w:t>Total</w:t>
            </w:r>
          </w:p>
        </w:tc>
        <w:tc>
          <w:tcPr>
            <w:tcW w:type="dxa" w:w="2835"/>
            <w:vAlign w:val="center"/>
            <w:tcBorders>
              <w:top w:val="single" w:sz="6" w:color="BFBFBF"/>
              <w:left w:val="single" w:sz="6" w:color="BFBFBF"/>
              <w:bottom w:val="single" w:sz="6" w:color="BFBFBF"/>
              <w:right w:val="single" w:sz="6" w:color="BFBFBF"/>
            </w:tcBorders>
          </w:tcPr>
          <w:p>
            <w:r/>
            <w:r>
              <w:rPr>
                <w:rFonts w:ascii="Calibri" w:hAnsi="Calibri"/>
                <w:sz w:val="20"/>
              </w:rPr>
            </w:r>
          </w:p>
        </w:tc>
        <w:tc>
          <w:tcPr>
            <w:tcW w:type="dxa" w:w="1361"/>
            <w:vAlign w:val="center"/>
            <w:tcBorders>
              <w:top w:val="single" w:sz="6" w:color="BFBFBF"/>
              <w:left w:val="single" w:sz="6" w:color="BFBFBF"/>
              <w:bottom w:val="single" w:sz="6" w:color="BFBFBF"/>
              <w:right w:val="single" w:sz="6" w:color="BFBFBF"/>
            </w:tcBorders>
          </w:tcPr>
          <w:p>
            <w:r/>
            <w:r>
              <w:rPr>
                <w:rFonts w:ascii="Calibri" w:hAnsi="Calibri"/>
                <w:sz w:val="20"/>
              </w:rPr>
            </w:r>
          </w:p>
        </w:tc>
        <w:tc>
          <w:tcPr>
            <w:tcW w:type="dxa" w:w="680"/>
            <w:vAlign w:val="center"/>
            <w:tcBorders>
              <w:top w:val="single" w:sz="6" w:color="BFBFBF"/>
              <w:left w:val="single" w:sz="6" w:color="BFBFBF"/>
              <w:bottom w:val="single" w:sz="6" w:color="BFBFBF"/>
              <w:right w:val="single" w:sz="6" w:color="BFBFBF"/>
            </w:tcBorders>
          </w:tcPr>
          <w:p>
            <w:r/>
            <w:r>
              <w:rPr>
                <w:rFonts w:ascii="Calibri" w:hAnsi="Calibri"/>
                <w:sz w:val="20"/>
              </w:rPr>
              <w:t>41</w:t>
            </w:r>
          </w:p>
        </w:tc>
        <w:tc>
          <w:tcPr>
            <w:tcW w:type="dxa" w:w="3118"/>
            <w:vAlign w:val="center"/>
            <w:tcBorders>
              <w:top w:val="single" w:sz="6" w:color="BFBFBF"/>
              <w:left w:val="single" w:sz="6" w:color="BFBFBF"/>
              <w:bottom w:val="single" w:sz="6" w:color="BFBFBF"/>
              <w:right w:val="single" w:sz="6" w:color="BFBFBF"/>
            </w:tcBorders>
          </w:tcPr>
          <w:p>
            <w:r/>
            <w:r>
              <w:rPr>
                <w:rFonts w:ascii="Calibri" w:hAnsi="Calibri"/>
                <w:sz w:val="20"/>
              </w:rPr>
            </w:r>
          </w:p>
        </w:tc>
      </w:tr>
    </w:tbl>
    <w:p>
      <w:pPr>
        <w:spacing w:after="120"/>
      </w:pPr>
    </w:p>
    <w:p>
      <w:pPr>
        <w:spacing w:before="280" w:after="120"/>
      </w:pPr>
      <w:r>
        <w:rPr>
          <w:rFonts w:ascii="Calibri" w:hAnsi="Calibri"/>
          <w:b/>
          <w:color w:val="1F3A68"/>
          <w:sz w:val="30"/>
        </w:rPr>
        <w:t>7. Key Risks and Mitigations</w:t>
      </w:r>
    </w:p>
    <w:p>
      <w:pPr>
        <w:pStyle w:val="ListBullet"/>
        <w:spacing w:after="60"/>
      </w:pPr>
      <w:r>
        <w:rPr>
          <w:rFonts w:ascii="Calibri" w:hAnsi="Calibri"/>
          <w:b/>
          <w:sz w:val="22"/>
        </w:rPr>
        <w:t xml:space="preserve">Memory ceiling: </w:t>
      </w:r>
      <w:r>
        <w:rPr>
          <w:rFonts w:ascii="Calibri" w:hAnsi="Calibri"/>
          <w:sz w:val="22"/>
        </w:rPr>
        <w:t>Soldered memory in some Pro-tier models limits future upgrades.</w:t>
      </w:r>
    </w:p>
    <w:p>
      <w:pPr>
        <w:spacing w:after="120"/>
      </w:pPr>
      <w:r>
        <w:rPr>
          <w:rFonts w:ascii="Calibri" w:hAnsi="Calibri"/>
          <w:b w:val="0"/>
          <w:i w:val="0"/>
          <w:color w:val="595959"/>
          <w:sz w:val="21"/>
        </w:rPr>
        <w:t>Mitigation: machines are specified at their highest practical RAM at purchase, so no upgrade is required within the planned lifecycle.</w:t>
      </w:r>
    </w:p>
    <w:p>
      <w:pPr>
        <w:pStyle w:val="ListBullet"/>
        <w:spacing w:after="60"/>
      </w:pPr>
      <w:r>
        <w:rPr>
          <w:rFonts w:ascii="Calibri" w:hAnsi="Calibri"/>
          <w:b/>
          <w:sz w:val="22"/>
        </w:rPr>
        <w:t xml:space="preserve">Thermal throttling: </w:t>
      </w:r>
      <w:r>
        <w:rPr>
          <w:rFonts w:ascii="Calibri" w:hAnsi="Calibri"/>
          <w:sz w:val="22"/>
        </w:rPr>
        <w:t>Sustained training runs generate significant heat in compact laptops.</w:t>
      </w:r>
    </w:p>
    <w:p>
      <w:pPr>
        <w:spacing w:after="120"/>
      </w:pPr>
      <w:r>
        <w:rPr>
          <w:rFonts w:ascii="Calibri" w:hAnsi="Calibri"/>
          <w:b w:val="0"/>
          <w:i w:val="0"/>
          <w:color w:val="595959"/>
          <w:sz w:val="21"/>
        </w:rPr>
        <w:t>Mitigation: Pro-tier units are deliberately specified on chassis with strong cooling (Zephyrus Duo, Legion Pro 7i) rather than the thinnest available designs.</w:t>
      </w:r>
    </w:p>
    <w:p>
      <w:pPr>
        <w:pStyle w:val="ListBullet"/>
        <w:spacing w:after="60"/>
      </w:pPr>
      <w:r>
        <w:rPr>
          <w:rFonts w:ascii="Calibri" w:hAnsi="Calibri"/>
          <w:b/>
          <w:sz w:val="22"/>
        </w:rPr>
        <w:t xml:space="preserve">CUDA compatibility: </w:t>
      </w:r>
      <w:r>
        <w:rPr>
          <w:rFonts w:ascii="Calibri" w:hAnsi="Calibri"/>
          <w:sz w:val="22"/>
        </w:rPr>
        <w:t>Apple Silicon does not support CUDA; some open-source training pipelines assume CUDA availability.</w:t>
      </w:r>
    </w:p>
    <w:p>
      <w:pPr>
        <w:spacing w:after="120"/>
      </w:pPr>
      <w:r>
        <w:rPr>
          <w:rFonts w:ascii="Calibri" w:hAnsi="Calibri"/>
          <w:b w:val="0"/>
          <w:i w:val="0"/>
          <w:color w:val="595959"/>
          <w:sz w:val="21"/>
        </w:rPr>
        <w:t>Mitigation: M5 Max units are allocated only to use cases dominated by inference and memory-bound workloads, where the MPS backend is sufficient.</w:t>
      </w:r>
    </w:p>
    <w:p>
      <w:pPr>
        <w:pStyle w:val="ListBullet"/>
        <w:spacing w:after="60"/>
      </w:pPr>
      <w:r>
        <w:rPr>
          <w:rFonts w:ascii="Calibri" w:hAnsi="Calibri"/>
          <w:b/>
          <w:sz w:val="22"/>
        </w:rPr>
        <w:t xml:space="preserve">Cost concentration: </w:t>
      </w:r>
      <w:r>
        <w:rPr>
          <w:rFonts w:ascii="Calibri" w:hAnsi="Calibri"/>
          <w:sz w:val="22"/>
        </w:rPr>
        <w:t>Premium GPU laptops carry higher unit cost than office-grade machines.</w:t>
      </w:r>
    </w:p>
    <w:p>
      <w:pPr>
        <w:spacing w:after="120"/>
      </w:pPr>
      <w:r>
        <w:rPr>
          <w:rFonts w:ascii="Calibri" w:hAnsi="Calibri"/>
          <w:b w:val="0"/>
          <w:i w:val="0"/>
          <w:color w:val="595959"/>
          <w:sz w:val="21"/>
        </w:rPr>
        <w:t>Mitigation: tiering ensures premium specifications are reserved for the Data Science team, where the institutional return on AI capability is highest. Lower-intensity teams receive appropriately scaled machines.</w:t>
      </w:r>
    </w:p>
    <w:p>
      <w:pPr>
        <w:spacing w:before="280" w:after="120"/>
      </w:pPr>
      <w:r>
        <w:rPr>
          <w:rFonts w:ascii="Calibri" w:hAnsi="Calibri"/>
          <w:b/>
          <w:color w:val="1F3A68"/>
          <w:sz w:val="30"/>
        </w:rPr>
        <w:t>8. Recommendation to the Board</w:t>
      </w:r>
    </w:p>
    <w:p>
      <w:pPr>
        <w:spacing w:after="120"/>
      </w:pPr>
      <w:r>
        <w:rPr>
          <w:rFonts w:ascii="Calibri" w:hAnsi="Calibri"/>
          <w:b w:val="0"/>
          <w:i w:val="0"/>
          <w:color w:val="1A1A1A"/>
          <w:sz w:val="22"/>
        </w:rPr>
        <w:t>The Board is invited to approve the procurement of the 41 laptops detailed in Section 6, distributed across the seven teams in line with the tiering and justifications presented in Section 5. The proposed fleet provides the institution with a defensible, secure and fully local AI compute capability while keeping investment proportional to each team's demonstrated workload.</w:t>
      </w:r>
    </w:p>
    <w:p>
      <w:pPr>
        <w:spacing w:after="120"/>
      </w:pPr>
      <w:r>
        <w:rPr>
          <w:rFonts w:ascii="Calibri" w:hAnsi="Calibri"/>
          <w:b w:val="0"/>
          <w:i/>
          <w:color w:val="595959"/>
          <w:sz w:val="22"/>
        </w:rPr>
        <w:t>Approving this proposal will allow the institution to scale its in-house AI, machine learning and analytics capabilities without dependence on external cloud GPU services, preserving full data sovereignty over sensitive tax, customs and policy data.</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