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IN THE UNITED STATES DISTRICT COURT</w:t>
      </w:r>
    </w:p>
    <w:p>
      <w:pPr>
        <w:jc w:val="center"/>
      </w:pPr>
      <w:r>
        <w:rPr>
          <w:b/>
          <w:bCs/>
        </w:rPr>
        <w:t xml:space="preserve">FOR THE SOUTHERN DISTRICT OF FLORIDA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t xml:space="preserve">ACME LOGISTICS, INC.,</w:t>
            </w:r>
          </w:p>
          <w:p>
            <w:r>
              <w:t xml:space="preserve">            Plaintiff,</w:t>
            </w:r>
          </w:p>
          <w:p>
            <w:r>
              <w:t xml:space="preserve">v.</w:t>
            </w:r>
          </w:p>
          <w:p>
            <w:r>
              <w:t xml:space="preserve">COASTAL FREIGHT PARTNERS, LLC,</w:t>
            </w:r>
          </w:p>
          <w:p>
            <w:r>
              <w:t xml:space="preserve">            Defendant.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t xml:space="preserve">Case No. 26-CV-00482-XYZ</w:t>
            </w:r>
          </w:p>
          <w:p>
            <w:r>
              <w:t xml:space="preserve"/>
            </w:r>
          </w:p>
          <w:p>
            <w:r>
              <w:t xml:space="preserve">Hon. Jane Q. Roberts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</w:rPr>
        <w:t xml:space="preserve">DEFENDANT'S MEMORANDUM IN SUPPORT OF MOTION TO DISMISS</w:t>
      </w:r>
    </w:p>
    <w:p>
      <w:r>
        <w:t xml:space="preserve"/>
      </w:r>
    </w:p>
    <w:p>
      <w:r>
        <w:rPr>
          <w:b/>
          <w:bCs/>
        </w:rPr>
        <w:t xml:space="preserve">INTRODUCTION</w:t>
      </w:r>
    </w:p>
    <w:p>
      <w:pPr>
        <w:jc w:val="both"/>
      </w:pPr>
      <w:r>
        <w:t xml:space="preserve">        Plaintiff's Complaint should be dismissed for lack of personal jurisdiction and failure to state a claim. The minimum-contacts framework set out in </w:t>
      </w:r>
      <w:r>
        <w:rPr>
          <w:i/>
          <w:iCs/>
        </w:rPr>
        <w:t xml:space="preserve">International Shoe Co. v. Washington</w:t>
      </w:r>
      <w:r>
        <w:t xml:space="preserve">, 326 U.S. 310 (1945), is not satisfied here, and Plaintiff's threadbare allegations cannot survive Rule 12(b)(6). </w:t>
      </w:r>
      <w:r>
        <w:rPr>
          <w:i/>
          <w:iCs/>
        </w:rPr>
        <w:t xml:space="preserve">See Ashcroft v Iqbal</w:t>
      </w:r>
      <w:r>
        <w:t xml:space="preserve">, 556 US 662 (2009).</w:t>
      </w:r>
    </w:p>
    <w:p>
      <w:r>
        <w:t xml:space="preserve"/>
      </w:r>
    </w:p>
    <w:p>
      <w:r>
        <w:rPr>
          <w:b/>
          <w:bCs/>
        </w:rPr>
        <w:t xml:space="preserve">ARGUMENT</w:t>
      </w:r>
    </w:p>
    <w:p>
      <w:r>
        <w:rPr>
          <w:b/>
          <w:bCs/>
        </w:rPr>
        <w:t xml:space="preserve">I.  The Court Lacks Personal Jurisdiction Over Defendant</w:t>
      </w:r>
    </w:p>
    <w:p>
      <w:pPr>
        <w:jc w:val="both"/>
      </w:pPr>
      <w:r>
        <w:t xml:space="preserve">        A nonresident defendant must have purposefully availed itself of the forum's benefits. </w:t>
      </w:r>
      <w:r>
        <w:rPr>
          <w:i/>
          <w:iCs/>
        </w:rPr>
        <w:t xml:space="preserve">Burger King Corp. v. Rudzewicz</w:t>
      </w:r>
      <w:r>
        <w:t xml:space="preserve">, 471 U.S. 462, 475 (1985). Stream-of-commerce contacts alone are insufficient. </w:t>
      </w:r>
      <w:r>
        <w:rPr>
          <w:i/>
          <w:iCs/>
        </w:rPr>
        <w:t xml:space="preserve">See J. McIntyre Mach., Ltd. v. Nicastro</w:t>
      </w:r>
      <w:r>
        <w:t xml:space="preserve">, 564 U.S. 873 (2011). The Eleventh Circuit reached the same conclusion in the maritime context. </w:t>
      </w:r>
      <w:r>
        <w:rPr>
          <w:i/>
          <w:iCs/>
        </w:rPr>
        <w:t xml:space="preserve">Henderson v. Coastal Maritime Servs., LLC</w:t>
      </w:r>
      <w:r>
        <w:t xml:space="preserve">, 612 F.3d 489, 495 (11th Cir. 2010). Florida's long-arm statute reaches no further than due process permits. </w:t>
      </w:r>
      <w:r>
        <w:rPr>
          <w:i/>
          <w:iCs/>
        </w:rPr>
        <w:t xml:space="preserve">Reyes v. Gulfstream Indem. Co.</w:t>
      </w:r>
      <w:r>
        <w:t xml:space="preserve">, 318 So.3d 442 (Fla. 4th DCA, 2021).</w:t>
      </w:r>
    </w:p>
    <w:p>
      <w:r>
        <w:t xml:space="preserve"/>
      </w:r>
    </w:p>
    <w:p>
      <w:r>
        <w:rPr>
          <w:b/>
          <w:bCs/>
        </w:rPr>
        <w:t xml:space="preserve">II.  Plaintiff Fails to State a Claim Upon Which Relief May Be Granted</w:t>
      </w:r>
    </w:p>
    <w:p>
      <w:pPr>
        <w:jc w:val="both"/>
      </w:pPr>
      <w:r>
        <w:t xml:space="preserve">        A complaint must allege facts sufficient to render the claim plausible on its face. </w:t>
      </w:r>
      <w:r>
        <w:rPr>
          <w:i/>
          <w:iCs/>
        </w:rPr>
        <w:t xml:space="preserve">Bell Atlantic Corp. v Twombly</w:t>
      </w:r>
      <w:r>
        <w:t xml:space="preserve">, 550 U.S. 544 (2007). Plaintiff's contract claim further fails because the alleged consequential damages were unforeseeable as a matter of law. </w:t>
      </w:r>
      <w:r>
        <w:rPr>
          <w:i/>
          <w:iCs/>
        </w:rPr>
        <w:t xml:space="preserve">See Hadley v. Baxendale</w:t>
      </w:r>
      <w:r>
        <w:t xml:space="preserve">, 9 Ex. 341, 156 Eng. Rep. 145 (1854); Restatement 2d Contracts §351. Even </w:t>
      </w:r>
      <w:r>
        <w:rPr>
          <w:i/>
          <w:iCs/>
        </w:rPr>
        <w:t xml:space="preserve">Marbury v. Madison</w:t>
      </w:r>
      <w:r>
        <w:t xml:space="preserve">, 5 U.S. 137 (1803), recognizes that legal remedies attach only to cognizable rights. Courts in this District have dismissed materially similar claims. </w:t>
      </w:r>
      <w:r>
        <w:rPr>
          <w:i/>
          <w:iCs/>
        </w:rPr>
        <w:t xml:space="preserve">Whitfield vs. Apex Logistics Inc.</w:t>
      </w:r>
      <w:r>
        <w:t xml:space="preserve">, 2019 WL 4567321 (S.D. Fl. 2019).</w:t>
      </w:r>
    </w:p>
    <w:p>
      <w:r>
        <w:t xml:space="preserve"/>
      </w:r>
    </w:p>
    <w:p>
      <w:r>
        <w:rPr>
          <w:b/>
          <w:bCs/>
        </w:rPr>
        <w:t xml:space="preserve">CONCLUSION</w:t>
      </w:r>
    </w:p>
    <w:p>
      <w:pPr>
        <w:jc w:val="both"/>
      </w:pPr>
      <w:r>
        <w:t xml:space="preserve">        For the foregoing reasons, Defendant respectfully requests that the Court dismiss the Complaint with prejudice pursuant to Fed. R. Civ. P. 12(b)(2) and FRCP 12(b)(6). </w:t>
      </w:r>
      <w:r>
        <w:rPr>
          <w:i/>
          <w:iCs/>
        </w:rPr>
        <w:t xml:space="preserve">See</w:t>
      </w:r>
      <w:r>
        <w:t xml:space="preserve"> 28 USC 1331.</w:t>
      </w:r>
    </w:p>
    <w:p>
      <w:r>
        <w:t xml:space="preserve"/>
      </w:r>
    </w:p>
    <w:p>
      <w:r>
        <w:t xml:space="preserve">Respectfully submitted,</w:t>
      </w:r>
    </w:p>
    <w:p>
      <w:r>
        <w:t xml:space="preserve"/>
      </w:r>
    </w:p>
    <w:p>
      <w:r>
        <w:t xml:space="preserve">/s/ Counsel for Defendant</w:t>
      </w:r>
    </w:p>
    <w:sectPr>
      <w:pgSz w:w="12240" w:h="15840" w:orient="portrait"/>
      <w:pgMar w:top="1224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2026-04-28T23:55:37.665Z</dcterms:created>
  <dcterms:modified xsi:type="dcterms:W3CDTF">2026-04-28T23:55:37.666Z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