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DISTRICT OF DELAWARE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MERIDIAN BIOTECH HOLDINGS LLC,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CRESTWOOD PHARMA INC.,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26-CV-01147-RBW</w:t>
            </w:r>
          </w:p>
          <w:p>
            <w:r>
              <w:t xml:space="preserve"/>
            </w:r>
          </w:p>
          <w:p>
            <w:r>
              <w:t xml:space="preserve">Hon. Richard B. Whitman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DEFENDANT'S REPLY IN SUPPORT OF MOTION TO DISMISS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Plaintiff's Opposition fails to rehabilitate its deficient pleading. The complaint must be dismissed under the standard articulated in </w:t>
      </w:r>
      <w:r>
        <w:rPr>
          <w:i/>
          <w:iCs/>
        </w:rPr>
        <w:t xml:space="preserve">Bell Atlantic Corp. v. Twombly</w:t>
      </w:r>
      <w:r>
        <w:t xml:space="preserve">, 550 U.S. 544, 555–56 (2007), and refined in </w:t>
      </w:r>
      <w:r>
        <w:rPr>
          <w:i/>
          <w:iCs/>
        </w:rPr>
        <w:t xml:space="preserve">Ashcroft v. Iqbal</w:t>
      </w:r>
      <w:r>
        <w:t xml:space="preserve">, 556 U.S. 662, 678 (2009). Plaintiff's reliance on speculative inferences cannot satisfy </w:t>
      </w:r>
      <w:r>
        <w:rPr>
          <w:i/>
          <w:iCs/>
        </w:rPr>
        <w:t xml:space="preserve">Twombly</w:t>
      </w:r>
      <w:r>
        <w:t xml:space="preserve">'s plausibility threshold. </w:t>
      </w:r>
      <w:r>
        <w:rPr>
          <w:i/>
          <w:iCs/>
        </w:rPr>
        <w:t xml:space="preserve">See id.</w:t>
      </w:r>
      <w:r>
        <w:t xml:space="preserve"> at 570.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t xml:space="preserve"/>
      </w:r>
    </w:p>
    <w:p>
      <w:r>
        <w:rPr>
          <w:b/>
          <w:bCs/>
        </w:rPr>
        <w:t xml:space="preserve">I.  Plaintiff's Allegations Fail the Plausibility Standard</w:t>
      </w:r>
    </w:p>
    <w:p>
      <w:pPr>
        <w:jc w:val="both"/>
      </w:pPr>
      <w:r>
        <w:t xml:space="preserve">        Mere conclusory allegations are insufficient. </w:t>
      </w:r>
      <w:r>
        <w:rPr>
          <w:i/>
          <w:iCs/>
        </w:rPr>
        <w:t xml:space="preserve">Iqbal</w:t>
      </w:r>
      <w:r>
        <w:t xml:space="preserve">, 556 U.S. at 678. "Threadbare recitals of the elements of a cause of action, supported by mere conclusory statements, do not suffice." </w:t>
      </w:r>
      <w:r>
        <w:rPr>
          <w:i/>
          <w:iCs/>
        </w:rPr>
        <w:t xml:space="preserve">Id.</w:t>
      </w:r>
      <w:r>
        <w:t xml:space="preserve"> The Court need not accept legal conclusions cast as factual allegations. </w:t>
      </w:r>
      <w:r>
        <w:rPr>
          <w:i/>
          <w:iCs/>
        </w:rPr>
        <w:t xml:space="preserve">Twombly</w:t>
      </w:r>
      <w:r>
        <w:t xml:space="preserve">, 550 U.S. at 555. As the Third Circuit has explained, the plausibility inquiry is context-specific. </w:t>
      </w:r>
      <w:r>
        <w:rPr>
          <w:i/>
          <w:iCs/>
        </w:rPr>
        <w:t xml:space="preserve">See Fowler v. UPMC Shadyside</w:t>
      </w:r>
      <w:r>
        <w:t xml:space="preserve">, 578 F.3d 203, 210–11 (3d Cir. 2009); </w:t>
      </w:r>
      <w:r>
        <w:rPr>
          <w:i/>
          <w:iCs/>
        </w:rPr>
        <w:t xml:space="preserve">see also Phillips v. County of Allegheny</w:t>
      </w:r>
      <w:r>
        <w:t xml:space="preserve">, 515 F.3d 224, 234 (3d Cir. 2008).</w:t>
      </w:r>
    </w:p>
    <w:p>
      <w:r>
        <w:t xml:space="preserve"/>
      </w:r>
    </w:p>
    <w:p>
      <w:r>
        <w:rPr>
          <w:b/>
          <w:bCs/>
        </w:rPr>
        <w:t xml:space="preserve">II.  Plaintiff's Securities Claim Is Foreclosed by Controlling Authority</w:t>
      </w:r>
    </w:p>
    <w:p>
      <w:pPr>
        <w:jc w:val="both"/>
      </w:pPr>
      <w:r>
        <w:t xml:space="preserve">        Multiple courts have rejected the theory Plaintiff advances here. </w:t>
      </w:r>
      <w:r>
        <w:rPr>
          <w:i/>
          <w:iCs/>
        </w:rPr>
        <w:t xml:space="preserve">See, e.g., Janus Capital Group, Inc. v. First Derivative Traders</w:t>
      </w:r>
      <w:r>
        <w:t xml:space="preserve">, 564 U.S. 135, 142 (2011); </w:t>
      </w:r>
      <w:r>
        <w:rPr>
          <w:i/>
          <w:iCs/>
        </w:rPr>
        <w:t xml:space="preserve">Stoneridge Inv. Partners, LLC v. Scientific-Atlanta, Inc.</w:t>
      </w:r>
      <w:r>
        <w:t xml:space="preserve">, 552 U.S. 148, 160–61 (2008); </w:t>
      </w:r>
      <w:r>
        <w:rPr>
          <w:i/>
          <w:iCs/>
        </w:rPr>
        <w:t xml:space="preserve">Cent. Bank of Denver, N.A. v. First Interstate Bank of Denver, N.A.</w:t>
      </w:r>
      <w:r>
        <w:t xml:space="preserve">, 511 U.S. 164, 191 (1994). </w:t>
      </w:r>
      <w:r>
        <w:rPr>
          <w:i/>
          <w:iCs/>
        </w:rPr>
        <w:t xml:space="preserve">Accord In re Charter Communications, Inc., Sec. Litig.</w:t>
      </w:r>
      <w:r>
        <w:t xml:space="preserve">, 443 F.3d 987, 992 (8th Cir. 2006), </w:t>
      </w:r>
      <w:r>
        <w:rPr>
          <w:i/>
          <w:iCs/>
        </w:rPr>
        <w:t xml:space="preserve">aff'd sub nom. Stoneridge</w:t>
      </w:r>
      <w:r>
        <w:t xml:space="preserve">, 552 U.S. 148. The Supreme Court has been emphatic. </w:t>
      </w:r>
      <w:r>
        <w:rPr>
          <w:i/>
          <w:iCs/>
        </w:rPr>
        <w:t xml:space="preserve">But see Affiliated Ute Citizens v. United States</w:t>
      </w:r>
      <w:r>
        <w:t xml:space="preserve">, 406 U.S. 128, 153 (1972) (carving narrow exception for omissions).</w:t>
      </w:r>
    </w:p>
    <w:p>
      <w:r>
        <w:t xml:space="preserve"/>
      </w:r>
    </w:p>
    <w:p>
      <w:r>
        <w:rPr>
          <w:b/>
          <w:bCs/>
        </w:rPr>
        <w:t xml:space="preserve">III.  The Doctrine of Plaintiff's Reliance Has Been Rejected</w:t>
      </w:r>
    </w:p>
    <w:p>
      <w:pPr>
        <w:jc w:val="both"/>
      </w:pPr>
      <w:r>
        <w:t xml:space="preserve">        Plaintiff's primary authority has been overruled. </w:t>
      </w:r>
      <w:r>
        <w:rPr>
          <w:i/>
          <w:iCs/>
        </w:rPr>
        <w:t xml:space="preserve">See Smith v. Atlas Corp.</w:t>
      </w:r>
      <w:r>
        <w:t xml:space="preserve">, 412 F.3d 845, 852 (9th Cir. 2005), </w:t>
      </w:r>
      <w:r>
        <w:rPr>
          <w:i/>
          <w:iCs/>
        </w:rPr>
        <w:t xml:space="preserve">rev'd</w:t>
      </w:r>
      <w:r>
        <w:t xml:space="preserve">, 549 U.S. 1019 (2006). The decision in </w:t>
      </w:r>
      <w:r>
        <w:rPr>
          <w:i/>
          <w:iCs/>
        </w:rPr>
        <w:t xml:space="preserve">Marshall v. Hartford Steam Boiler Inspection Co.</w:t>
      </w:r>
      <w:r>
        <w:t xml:space="preserve">, 305 F. Supp. 2d 401, 408 (D. Del. 2004), </w:t>
      </w:r>
      <w:r>
        <w:rPr>
          <w:i/>
          <w:iCs/>
        </w:rPr>
        <w:t xml:space="preserve">aff'd</w:t>
      </w:r>
      <w:r>
        <w:t xml:space="preserve">, 421 F.3d 280 (3d Cir. 2005), </w:t>
      </w:r>
      <w:r>
        <w:rPr>
          <w:i/>
          <w:iCs/>
        </w:rPr>
        <w:t xml:space="preserve">cert denied</w:t>
      </w:r>
      <w:r>
        <w:t xml:space="preserve">, 547 U.S. 1018 (2006), is squarely on point. The Third Circuit subsequently revisited the issue. </w:t>
      </w:r>
      <w:r>
        <w:rPr>
          <w:i/>
          <w:iCs/>
        </w:rPr>
        <w:t xml:space="preserve">See Eldridge v. Tymshare, Inc.</w:t>
      </w:r>
      <w:r>
        <w:t xml:space="preserve">, 727 F.2d 199, 205 (3d Cir. 1984), </w:t>
      </w:r>
      <w:r>
        <w:rPr>
          <w:i/>
          <w:iCs/>
        </w:rPr>
        <w:t xml:space="preserve">abrogated on other grounds by Pacific Gas &amp; Elec. Co. v. State</w:t>
      </w:r>
      <w:r>
        <w:t xml:space="preserve">, 350 F.3d 932 (9th Cir. 2003).</w:t>
      </w:r>
    </w:p>
    <w:p>
      <w:r>
        <w:t xml:space="preserve"/>
      </w:r>
    </w:p>
    <w:p>
      <w:r>
        <w:rPr>
          <w:b/>
          <w:bCs/>
        </w:rPr>
        <w:t xml:space="preserve">IV.  Explanatory Authority Confirms Dismissal</w:t>
      </w:r>
    </w:p>
    <w:p>
      <w:pPr>
        <w:jc w:val="both"/>
      </w:pPr>
      <w:r>
        <w:t xml:space="preserve">        Other circuits have reached the same result on indistinguishable facts. </w:t>
      </w:r>
      <w:r>
        <w:rPr>
          <w:i/>
          <w:iCs/>
        </w:rPr>
        <w:t xml:space="preserve">See Anderson v. Liberty Lobby, Inc.</w:t>
      </w:r>
      <w:r>
        <w:t xml:space="preserve">, 477 U.S. 242, 248 (1986) (holding that summary judgment is proper where no genuine issue of material fact exists); </w:t>
      </w:r>
      <w:r>
        <w:rPr>
          <w:i/>
          <w:iCs/>
        </w:rPr>
        <w:t xml:space="preserve">Celotex Corp. v. Catrett</w:t>
      </w:r>
      <w:r>
        <w:t xml:space="preserve">, 477 U.S. 317, 322-23 (1986) (en banc) (same). The plausibility standard "asks for more than a sheer possibility that a defendant has acted unlawfully." </w:t>
      </w:r>
      <w:r>
        <w:rPr>
          <w:i/>
          <w:iCs/>
        </w:rPr>
        <w:t xml:space="preserve">Iqbal</w:t>
      </w:r>
      <w:r>
        <w:t xml:space="preserve">, 556 U.S. at 678 (internal quotation marks omitted). The Court below correctly applied this principle. </w:t>
      </w:r>
      <w:r>
        <w:rPr>
          <w:i/>
          <w:iCs/>
        </w:rPr>
        <w:t xml:space="preserve">Cf. Bell Atl</w:t>
      </w:r>
      <w:r>
        <w:t xml:space="preserve">, 550 U.S. at 570 ("requiring a complaint with enough heft to show entitlement to relief").</w:t>
      </w:r>
    </w:p>
    <w:p>
      <w:r>
        <w:t xml:space="preserve"/>
      </w:r>
    </w:p>
    <w:p>
      <w:r>
        <w:rPr>
          <w:b/>
          <w:bCs/>
        </w:rPr>
        <w:t xml:space="preserve">V.  Standard of Review Authorities</w:t>
      </w:r>
    </w:p>
    <w:p>
      <w:pPr>
        <w:jc w:val="both"/>
      </w:pPr>
      <w:r>
        <w:t xml:space="preserve">        The standard governing this motion is well-established. </w:t>
      </w:r>
      <w:r>
        <w:rPr>
          <w:i/>
          <w:iCs/>
        </w:rPr>
        <w:t xml:space="preserve">See Fed. R. Civ. P. 12(b)(6)</w:t>
      </w:r>
      <w:r>
        <w:t xml:space="preserve">; </w:t>
      </w:r>
      <w:r>
        <w:rPr>
          <w:i/>
          <w:iCs/>
        </w:rPr>
        <w:t xml:space="preserve">Conley v. Gibson</w:t>
      </w:r>
      <w:r>
        <w:t xml:space="preserve">, 355 U.S. 41, 47 (1957); </w:t>
      </w:r>
      <w:r>
        <w:rPr>
          <w:i/>
          <w:iCs/>
        </w:rPr>
        <w:t xml:space="preserve">Scheuer v. Rhodes</w:t>
      </w:r>
      <w:r>
        <w:t xml:space="preserve">, 416 U.S. 232, 236 (1974). The Court must accept all well-pleaded factual allegations as true. </w:t>
      </w:r>
      <w:r>
        <w:rPr>
          <w:i/>
          <w:iCs/>
        </w:rPr>
        <w:t xml:space="preserve">See Erickson v. Pardus</w:t>
      </w:r>
      <w:r>
        <w:t xml:space="preserve">, 551 U.S. 89, 94 (2007) (per curiam). Federal-question jurisdiction is proper under 28 U.S.C. § 1331.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 and those stated in Defendant's opening brief, the Complaint should be dismissed with prejudice. </w:t>
      </w:r>
      <w:r>
        <w:rPr>
          <w:i/>
          <w:iCs/>
        </w:rPr>
        <w:t xml:space="preserve">Iqbal</w:t>
      </w:r>
      <w:r>
        <w:t xml:space="preserve">, </w:t>
      </w:r>
      <w:r>
        <w:rPr>
          <w:i/>
          <w:iCs/>
        </w:rPr>
        <w:t xml:space="preserve">supra</w:t>
      </w:r>
      <w:r>
        <w:t xml:space="preserve">, at 679.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Defendant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2026-04-29T16:29:25.519Z</dcterms:created>
  <dcterms:modified xsi:type="dcterms:W3CDTF">2026-04-29T16:29:25.520Z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