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IN THE UNITED STATES DISTRICT COURT</w:t>
      </w:r>
    </w:p>
    <w:p>
      <w:pPr>
        <w:jc w:val="center"/>
      </w:pPr>
      <w:r>
        <w:rPr>
          <w:b/>
          <w:bCs/>
        </w:rPr>
        <w:t xml:space="preserve">FOR THE WESTERN DISTRICT OF WASHINGTON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t xml:space="preserve">HARBOR ENERGY GROUP LP,</w:t>
            </w:r>
          </w:p>
          <w:p>
            <w:r>
              <w:t xml:space="preserve">            Plaintiff,</w:t>
            </w:r>
          </w:p>
          <w:p>
            <w:r>
              <w:t xml:space="preserve">v.</w:t>
            </w:r>
          </w:p>
          <w:p>
            <w:r>
              <w:t xml:space="preserve">CASCADE GRID SOLUTIONS LLC,</w:t>
            </w:r>
          </w:p>
          <w:p>
            <w:r>
              <w:t xml:space="preserve">            Defendant.</w:t>
            </w:r>
          </w:p>
        </w:tc>
        <w:tc>
          <w:tcPr>
            <w:tcW w:type="dxa" w:w="4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t xml:space="preserve">Case No. 26-CV-02893-LSO</w:t>
            </w:r>
          </w:p>
          <w:p>
            <w:r>
              <w:t xml:space="preserve"/>
            </w:r>
          </w:p>
          <w:p>
            <w:r>
              <w:t xml:space="preserve">Hon. Lila S. Okonkwo</w:t>
            </w:r>
          </w:p>
        </w:tc>
      </w:tr>
    </w:tbl>
    <w:p>
      <w:r>
        <w:t xml:space="preserve"/>
      </w:r>
    </w:p>
    <w:p>
      <w:pPr>
        <w:jc w:val="center"/>
      </w:pPr>
      <w:r>
        <w:rPr>
          <w:b/>
          <w:bCs/>
        </w:rPr>
        <w:t xml:space="preserve">PLAINTIFF'S OPPOSITION TO DEFENDANT'S MOTION FOR SUMMARY JUDGMENT</w:t>
      </w:r>
    </w:p>
    <w:p>
      <w:r>
        <w:t xml:space="preserve"/>
      </w:r>
    </w:p>
    <w:p>
      <w:r>
        <w:rPr>
          <w:b/>
          <w:bCs/>
        </w:rPr>
        <w:t xml:space="preserve">INTRODUCTION</w:t>
      </w:r>
    </w:p>
    <w:p>
      <w:pPr>
        <w:jc w:val="both"/>
      </w:pPr>
      <w:r>
        <w:t xml:space="preserve">        Defendant's motion fails on every front. The summary-judgment standard is well-settled. </w:t>
      </w:r>
      <w:r>
        <w:rPr>
          <w:i/>
          <w:iCs/>
        </w:rPr>
        <w:t xml:space="preserve">See Anderson v. Liberty Lobby, Inc.</w:t>
      </w:r>
      <w:r>
        <w:t xml:space="preserve">, 477 U.S. 242, 248 (1986); </w:t>
      </w:r>
      <w:r>
        <w:rPr>
          <w:i/>
          <w:iCs/>
        </w:rPr>
        <w:t xml:space="preserve">Celotex Corp. v. Catrett</w:t>
      </w:r>
      <w:r>
        <w:t xml:space="preserve">, 477 U.S. 317, 322–23 (1986); </w:t>
      </w:r>
      <w:r>
        <w:rPr>
          <w:i/>
          <w:iCs/>
        </w:rPr>
        <w:t xml:space="preserve">Matsushita Elec. Indus. Co. v. Zenith Radio Corp.</w:t>
      </w:r>
      <w:r>
        <w:t xml:space="preserve">, 475 U.S. 574, 587 (1986). The Court must view the facts in the light most favorable to the non-movant. </w:t>
      </w:r>
      <w:r>
        <w:rPr>
          <w:i/>
          <w:iCs/>
        </w:rPr>
        <w:t xml:space="preserve">Tolan v. Cotton</w:t>
      </w:r>
      <w:r>
        <w:t xml:space="preserve">, 572 U.S. 650, 657 (2014) (per curiam).</w:t>
      </w:r>
    </w:p>
    <w:p>
      <w:r>
        <w:t xml:space="preserve"/>
      </w:r>
    </w:p>
    <w:p>
      <w:r>
        <w:rPr>
          <w:b/>
          <w:bCs/>
        </w:rPr>
        <w:t xml:space="preserve">I.  Defendant Misapplies the Summary-Judgment Standard</w:t>
      </w:r>
    </w:p>
    <w:p>
      <w:pPr>
        <w:jc w:val="both"/>
      </w:pPr>
      <w:r>
        <w:t xml:space="preserve">        The applicable standard requires more than what Defendant has demonstrated. </w:t>
      </w:r>
      <w:r>
        <w:rPr>
          <w:i/>
          <w:iCs/>
        </w:rPr>
        <w:t xml:space="preserve">see Anderson</w:t>
      </w:r>
      <w:r>
        <w:t xml:space="preserve">, 477 U.S. at 248; </w:t>
      </w:r>
      <w:r>
        <w:rPr>
          <w:i/>
          <w:iCs/>
        </w:rPr>
        <w:t xml:space="preserve">see also Matsushita</w:t>
      </w:r>
      <w:r>
        <w:t xml:space="preserve">, 475 U.S. at 587; </w:t>
      </w:r>
      <w:r>
        <w:rPr>
          <w:i/>
          <w:iCs/>
        </w:rPr>
        <w:t xml:space="preserve">Cf. Scott v. Harris</w:t>
      </w:r>
      <w:r>
        <w:t xml:space="preserve">, 550 U.S. 372, 378 (2007); </w:t>
      </w:r>
      <w:r>
        <w:rPr>
          <w:i/>
          <w:iCs/>
        </w:rPr>
        <w:t xml:space="preserve">Compare Liberty Lobby</w:t>
      </w:r>
      <w:r>
        <w:t xml:space="preserve">, 477 U.S. at 252, </w:t>
      </w:r>
      <w:r>
        <w:rPr>
          <w:i/>
          <w:iCs/>
        </w:rPr>
        <w:t xml:space="preserve">With Saucier v. Katz</w:t>
      </w:r>
      <w:r>
        <w:t xml:space="preserve">, 533 U.S. 194, 201 (2001); </w:t>
      </w:r>
      <w:r>
        <w:rPr>
          <w:i/>
          <w:iCs/>
        </w:rPr>
        <w:t xml:space="preserve">E.g., Reeves v. Sanderson Plumbing Prods., Inc.</w:t>
      </w:r>
      <w:r>
        <w:t xml:space="preserve">, 530 U.S. 133, 150 (2000).</w:t>
      </w:r>
    </w:p>
    <w:p>
      <w:r>
        <w:t xml:space="preserve"/>
      </w:r>
    </w:p>
    <w:p>
      <w:pPr>
        <w:jc w:val="both"/>
      </w:pPr>
      <w:r>
        <w:t xml:space="preserve">        Other courts agree the standard is exacting. </w:t>
      </w:r>
      <w:r>
        <w:rPr>
          <w:i/>
          <w:iCs/>
        </w:rPr>
        <w:t xml:space="preserve">Accord In re Apple Inc. Sec. Litig.</w:t>
      </w:r>
      <w:r>
        <w:t xml:space="preserve">, 416 F. Supp. 3d 738, 754 (N.D. Cal. 2019); </w:t>
      </w:r>
      <w:r>
        <w:rPr>
          <w:i/>
          <w:iCs/>
        </w:rPr>
        <w:t xml:space="preserve">but see In re Citigroup Inc. Sec. Litig.</w:t>
      </w:r>
      <w:r>
        <w:t xml:space="preserve">, 753 F. Supp. 2d 206, 226 (S.D.N.Y. 2010); </w:t>
      </w:r>
      <w:r>
        <w:rPr>
          <w:i/>
          <w:iCs/>
        </w:rPr>
        <w:t xml:space="preserve">but Cf. United States Department of Justice v. Reporters Committee</w:t>
      </w:r>
      <w:r>
        <w:t xml:space="preserve">, 489 U.S. 749, 762 (1989); </w:t>
      </w:r>
      <w:r>
        <w:rPr>
          <w:i/>
          <w:iCs/>
        </w:rPr>
        <w:t xml:space="preserve">contra Smith v. Department of Treasury</w:t>
      </w:r>
      <w:r>
        <w:t xml:space="preserve">, 894 F.3d 23, 29 (D.C. Cir. 2018).</w:t>
      </w:r>
    </w:p>
    <w:p>
      <w:r>
        <w:t xml:space="preserve"/>
      </w:r>
    </w:p>
    <w:p>
      <w:r>
        <w:rPr>
          <w:b/>
          <w:bCs/>
        </w:rPr>
        <w:t xml:space="preserve">II.  The Record Defeats Defendant's Theory</w:t>
      </w:r>
    </w:p>
    <w:p>
      <w:pPr>
        <w:jc w:val="both"/>
      </w:pPr>
      <w:r>
        <w:t xml:space="preserve">        The Supreme Court has explained the role of summary judgment with precision:</w:t>
      </w:r>
    </w:p>
    <w:p>
      <w:pPr>
        <w:ind w:left="720" w:right="720"/>
        <w:jc w:val="both"/>
      </w:pPr>
      <w:r>
        <w:t xml:space="preserve">        It is the duty of the trial judge to ascertain whether evidence has been presented from which a reasonable jury could find for the non-moving party. Where the evidence is merely colorable, or is not significantly probative, the trial court may grant summary judgment as a matter of law. The mere existence of some alleged factual dispute between the parties will not defeat an otherwise properly supported motion for summary judgment.</w:t>
      </w:r>
    </w:p>
    <w:p>
      <w:pPr>
        <w:jc w:val="both"/>
      </w:pPr>
      <w:r>
        <w:rPr>
          <w:i/>
          <w:iCs/>
        </w:rPr>
        <w:t xml:space="preserve">Anderson</w:t>
      </w:r>
      <w:r>
        <w:t xml:space="preserve">, 477 U.S. at 249–50. The standard is not merely procedural but substantive.</w:t>
      </w:r>
    </w:p>
    <w:p>
      <w:r>
        <w:t xml:space="preserve"/>
      </w:r>
    </w:p>
    <w:p>
      <w:pPr>
        <w:jc w:val="both"/>
      </w:pPr>
      <w:r>
        <w:t xml:space="preserve">        Defendant cites a sentence from </w:t>
      </w:r>
      <w:r>
        <w:rPr>
          <w:i/>
          <w:iCs/>
        </w:rPr>
        <w:t xml:space="preserve">Celotex</w:t>
      </w:r>
      <w:r>
        <w:t xml:space="preserve"> that, when read in context, contradicts its position:</w:t>
      </w:r>
    </w:p>
    <w:p>
      <w:pPr>
        <w:ind w:left="720" w:right="720"/>
        <w:jc w:val="both"/>
      </w:pPr>
      <w:r>
        <w:t xml:space="preserve">        The plaintiff's burden at this stage is well-defined and substantial.</w:t>
      </w:r>
    </w:p>
    <w:p>
      <w:pPr>
        <w:jc w:val="both"/>
      </w:pPr>
      <w:r>
        <w:rPr>
          <w:i/>
          <w:iCs/>
        </w:rPr>
        <w:t xml:space="preserve">Celotex</w:t>
      </w:r>
      <w:r>
        <w:t xml:space="preserve">, 477 U.S. at 322. The full quotation makes clear the burden remains on the movant.</w:t>
      </w:r>
    </w:p>
    <w:p>
      <w:r>
        <w:t xml:space="preserve"/>
      </w:r>
    </w:p>
    <w:p>
      <w:pPr>
        <w:jc w:val="both"/>
      </w:pPr>
      <w:r>
        <w:t xml:space="preserve">        The Ninth Circuit has applied </w:t>
      </w:r>
      <w:r>
        <w:rPr>
          <w:i/>
          <w:iCs/>
        </w:rPr>
        <w:t xml:space="preserve">Anderson</w:t>
      </w:r>
      <w:r>
        <w:t xml:space="preserve"> consistently. As one panel observed, the standard "requires the [non-moving party] to do more than simply show that there is some metaphysical doubt as to the material facts...the [non-moving party] must come forward with specific facts." </w:t>
      </w:r>
      <w:r>
        <w:rPr>
          <w:i/>
          <w:iCs/>
        </w:rPr>
        <w:t xml:space="preserve">Soremekun v. Thrifty Payless, Inc.</w:t>
      </w:r>
      <w:r>
        <w:t xml:space="preserve">, 509 F.3d 978, 984 (9th Cir. 2007) (alterations and omission in original) (quoting </w:t>
      </w:r>
      <w:r>
        <w:rPr>
          <w:i/>
          <w:iCs/>
        </w:rPr>
        <w:t xml:space="preserve">Matsushita</w:t>
      </w:r>
      <w:r>
        <w:t xml:space="preserve">, 475 U.S. at 586). </w:t>
      </w:r>
      <w:r>
        <w:t xml:space="preserve">The court emphasized that "unsupported conjecture or conclusory statements...are inadequate." </w:t>
      </w:r>
      <w:r>
        <w:rPr>
          <w:i/>
          <w:iCs/>
        </w:rPr>
        <w:t xml:space="preserve">Id.</w:t>
      </w:r>
      <w:r>
        <w:t xml:space="preserve"> at 985.</w:t>
      </w:r>
    </w:p>
    <w:p>
      <w:r>
        <w:t xml:space="preserve"/>
      </w:r>
    </w:p>
    <w:p>
      <w:r>
        <w:rPr>
          <w:b/>
          <w:bCs/>
        </w:rPr>
        <w:t xml:space="preserve">III.  This Court Has Federal-Question Jurisdiction</w:t>
      </w:r>
    </w:p>
    <w:p>
      <w:pPr>
        <w:jc w:val="both"/>
      </w:pPr>
      <w:r>
        <w:t xml:space="preserve">        Federal-question jurisdiction is well-established under 28 U.S.C. § 1331. The Court of Appeals for the Ninth Circuit has confirmed this principle in numerous decisions. </w:t>
      </w:r>
      <w:r>
        <w:rPr>
          <w:i/>
          <w:iCs/>
        </w:rPr>
        <w:t xml:space="preserve">See, e.g., Mims v. Arrow Fin. Servs., LLC</w:t>
      </w:r>
      <w:r>
        <w:t xml:space="preserve">, 565 U.S. 368, 376 (2012). The plaintiff's federal claim arises under the Federal Power Act, see 16 U.S.C. § 824, and the Public Utility Regulatory Policies Act, </w:t>
      </w:r>
      <w:r>
        <w:rPr>
          <w:i/>
          <w:iCs/>
        </w:rPr>
        <w:t xml:space="preserve">see</w:t>
      </w:r>
      <w:r>
        <w:t xml:space="preserve"> 16 U.S.C. § 2601. </w:t>
      </w:r>
      <w:r>
        <w:t xml:space="preserve">Defendant's reliance on state-law preemption ignores controlling Supreme Court authority. </w:t>
      </w:r>
      <w:r>
        <w:rPr>
          <w:i/>
          <w:iCs/>
        </w:rPr>
        <w:t xml:space="preserve">See FERC v. Elec. Power Supply Ass'n</w:t>
      </w:r>
      <w:r>
        <w:t xml:space="preserve">, 577 U.S. 260, 277 (2016).</w:t>
      </w:r>
    </w:p>
    <w:p>
      <w:r>
        <w:t xml:space="preserve"/>
      </w:r>
    </w:p>
    <w:p>
      <w:r>
        <w:rPr>
          <w:b/>
          <w:bCs/>
        </w:rPr>
        <w:t xml:space="preserve">IV.  Federal Agency Authority Confirms Plaintiff's Position</w:t>
      </w:r>
    </w:p>
    <w:p>
      <w:pPr>
        <w:jc w:val="both"/>
      </w:pPr>
      <w:r>
        <w:t xml:space="preserve">        Multiple federal agencies have endorsed Plaintiff's reading. </w:t>
      </w:r>
      <w:r>
        <w:rPr>
          <w:i/>
          <w:iCs/>
        </w:rPr>
        <w:t xml:space="preserve">See Department of Transportation v. Public Citizen</w:t>
      </w:r>
      <w:r>
        <w:t xml:space="preserve">, 541 U.S. 752, 762 (2004); </w:t>
      </w:r>
      <w:r>
        <w:rPr>
          <w:i/>
          <w:iCs/>
        </w:rPr>
        <w:t xml:space="preserve">National Federation of Independent Business v. Sebelius</w:t>
      </w:r>
      <w:r>
        <w:t xml:space="preserve">, 567 U.S. 519, 537 (2012); </w:t>
      </w:r>
      <w:r>
        <w:rPr>
          <w:i/>
          <w:iCs/>
        </w:rPr>
        <w:t xml:space="preserve">United States Government Accountability Office v. GSA</w:t>
      </w:r>
      <w:r>
        <w:t xml:space="preserve">, 408 F. Supp. 3d 1, 7 (D.D.C. 2019). </w:t>
      </w:r>
      <w:r>
        <w:rPr>
          <w:i/>
          <w:iCs/>
        </w:rPr>
        <w:t xml:space="preserve">See also Tennessee Valley Authority v. Hill</w:t>
      </w:r>
      <w:r>
        <w:t xml:space="preserve">, 437 U.S. 153, 173 (1978) (noting agency role in statutory enforcement).</w:t>
      </w:r>
    </w:p>
    <w:p>
      <w:r>
        <w:t xml:space="preserve"/>
      </w:r>
    </w:p>
    <w:p>
      <w:r>
        <w:rPr>
          <w:b/>
          <w:bCs/>
        </w:rPr>
        <w:t xml:space="preserve">V.  Standard Authorities</w:t>
      </w:r>
    </w:p>
    <w:p>
      <w:pPr>
        <w:jc w:val="both"/>
      </w:pPr>
      <w:r>
        <w:t xml:space="preserve">        The summary-judgment framework is anchored in three Supreme Court decisions. </w:t>
      </w:r>
      <w:r>
        <w:rPr>
          <w:i/>
          <w:iCs/>
        </w:rPr>
        <w:t xml:space="preserve">See Anderson</w:t>
      </w:r>
      <w:r>
        <w:t xml:space="preserve">, 477 U.S. at 248; </w:t>
      </w:r>
      <w:r>
        <w:rPr>
          <w:i/>
          <w:iCs/>
        </w:rPr>
        <w:t xml:space="preserve">Celotex</w:t>
      </w:r>
      <w:r>
        <w:t xml:space="preserve">, 477 U.S. at 322–23; </w:t>
      </w:r>
      <w:r>
        <w:rPr>
          <w:i/>
          <w:iCs/>
        </w:rPr>
        <w:t xml:space="preserve">Matsushita</w:t>
      </w:r>
      <w:r>
        <w:t xml:space="preserve">, 475 U.S. at 586. The plaintiff need only "come forward with specific facts." </w:t>
      </w:r>
      <w:r>
        <w:rPr>
          <w:i/>
          <w:iCs/>
        </w:rPr>
        <w:t xml:space="preserve">Soremekun</w:t>
      </w:r>
      <w:r>
        <w:t xml:space="preserve">, 509 F.3d at 984. The applicable Federal Rule is Fed. R. Civ. P. 56(a). </w:t>
      </w:r>
      <w:r>
        <w:rPr>
          <w:i/>
          <w:iCs/>
        </w:rPr>
        <w:t xml:space="preserve">See also Celotex</w:t>
      </w:r>
      <w:r>
        <w:t xml:space="preserve">, 477 U.S. at 323 ("summary judgment, after adequate time for discovery and upon motion, [shall be granted] against a party who fails to make a showing sufficient to establish the existence of an element essential to that party's case") (alteration in original).</w:t>
      </w:r>
    </w:p>
    <w:p>
      <w:r>
        <w:t xml:space="preserve"/>
      </w:r>
    </w:p>
    <w:p>
      <w:r>
        <w:rPr>
          <w:b/>
          <w:bCs/>
        </w:rPr>
        <w:t xml:space="preserve">CONCLUSION</w:t>
      </w:r>
    </w:p>
    <w:p>
      <w:pPr>
        <w:jc w:val="both"/>
      </w:pPr>
      <w:r>
        <w:t xml:space="preserve">        For the foregoing reasons, Defendant's motion should be denied. </w:t>
      </w:r>
      <w:r>
        <w:rPr>
          <w:i/>
          <w:iCs/>
        </w:rPr>
        <w:t xml:space="preserve">See</w:t>
      </w:r>
      <w:r>
        <w:t xml:space="preserve"> Fed. R. Civ. P. 56(a); </w:t>
      </w:r>
      <w:r>
        <w:rPr>
          <w:i/>
          <w:iCs/>
        </w:rPr>
        <w:t xml:space="preserve">Anderson</w:t>
      </w:r>
      <w:r>
        <w:t xml:space="preserve">, 477 U.S. at 248.</w:t>
      </w:r>
    </w:p>
    <w:p>
      <w:r>
        <w:t xml:space="preserve"/>
      </w:r>
    </w:p>
    <w:p>
      <w:r>
        <w:t xml:space="preserve">Respectfully submitted,</w:t>
      </w:r>
    </w:p>
    <w:p>
      <w:r>
        <w:t xml:space="preserve"/>
      </w:r>
    </w:p>
    <w:p>
      <w:r>
        <w:t xml:space="preserve">/s/ Counsel for Plaintiff</w:t>
      </w:r>
    </w:p>
    <w:sectPr>
      <w:pgSz w:w="12240" w:h="15840" w:orient="portrait"/>
      <w:pgMar w:top="1224" w:right="1440" w:bottom="122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2026-04-29T17:53:46.138Z</dcterms:created>
  <dcterms:modified xsi:type="dcterms:W3CDTF">2026-04-29T17:53:46.140Z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