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SOUTHERN DISTRICT OF NEW YORK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WESTBROOK PUBLISHING GROUP, INC.,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ATLAS DIGITAL MEDIA LLC,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26-CV-04219-MAH</w:t>
            </w:r>
          </w:p>
          <w:p>
            <w:r>
              <w:t xml:space="preserve"/>
            </w:r>
          </w:p>
          <w:p>
            <w:r>
              <w:t xml:space="preserve">Hon. Marcus A. Henderson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PLAINTIFF'S BRIEF IN SUPPORT OF MOTION FOR PRELIMINARY INJUNCTION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This case presents an issue of substantial doctrinal importance to copyright law. The leading treatise has long recognized the framework Plaintiff invokes here. </w:t>
      </w:r>
      <w:r>
        <w:rPr>
          <w:i/>
          <w:iCs/>
        </w:rPr>
        <w:t xml:space="preserve">See</w:t>
      </w:r>
      <w:r>
        <w:t xml:space="preserve"> 4 Melville B. Nimmer &amp; David Nimmer, </w:t>
      </w:r>
      <w:r>
        <w:rPr>
          <w:i/>
          <w:iCs/>
        </w:rPr>
        <w:t xml:space="preserve">Nimmer on Copyright</w:t>
      </w:r>
      <w:r>
        <w:t xml:space="preserve"> § 13.05 (Matthew Bender rev. ed. 2023). The scholarly consensus supports Plaintiff's position. </w:t>
      </w:r>
      <w:r>
        <w:rPr>
          <w:i/>
          <w:iCs/>
        </w:rPr>
        <w:t xml:space="preserve">See</w:t>
      </w:r>
      <w:r>
        <w:t xml:space="preserve"> Pamela Samuelson, </w:t>
      </w:r>
      <w:r>
        <w:rPr>
          <w:i/>
          <w:iCs/>
        </w:rPr>
        <w:t xml:space="preserve">Fair Use Defenses in Disruptive Technology Cases</w:t>
      </w:r>
      <w:r>
        <w:t xml:space="preserve">, 71 UCLA L. Rev. 1234, 1245 (2024).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t xml:space="preserve"/>
      </w:r>
    </w:p>
    <w:p>
      <w:r>
        <w:rPr>
          <w:b/>
          <w:bCs/>
        </w:rPr>
        <w:t xml:space="preserve">I.  Leading Treatises Confirm Plaintiff's Reading of the Copyright Act</w:t>
      </w:r>
    </w:p>
    <w:p>
      <w:pPr>
        <w:jc w:val="both"/>
      </w:pPr>
      <w:r>
        <w:t xml:space="preserve">        The most authoritative treatise on copyright law is in accord. </w:t>
      </w:r>
      <w:r>
        <w:t xml:space="preserve">4 Melville B. Nimmer &amp; David Nimmer, </w:t>
      </w:r>
      <w:r>
        <w:rPr>
          <w:i/>
          <w:iCs/>
        </w:rPr>
        <w:t xml:space="preserve">Nimmer on Copyright</w:t>
      </w:r>
      <w:r>
        <w:t xml:space="preserve"> § 13.05[A] (Matthew Bender rev. ed. 2023). The Federal Practice treatise reaches the same conclusion in the procedural context. </w:t>
      </w:r>
      <w:r>
        <w:t xml:space="preserve">11A Charles Alan Wright, Arthur R. Miller &amp; Mary Kay Kane, </w:t>
      </w:r>
      <w:r>
        <w:rPr>
          <w:i/>
          <w:iCs/>
        </w:rPr>
        <w:t xml:space="preserve">Federal Practice and Procedure</w:t>
      </w:r>
      <w:r>
        <w:t xml:space="preserve"> § 2948.1 (3d ed. 2013). </w:t>
      </w:r>
      <w:r>
        <w:t xml:space="preserve">As Professor Goldstein has explained, Paul Goldstein, Goldstein on Copyright § 12.2.1 (3d ed. 2024), the doctrine has evolved considerably. </w:t>
      </w:r>
      <w:r>
        <w:t xml:space="preserve">Other authorities are in accord. </w:t>
      </w:r>
      <w:r>
        <w:rPr>
          <w:i/>
          <w:iCs/>
        </w:rPr>
        <w:t xml:space="preserve">See</w:t>
      </w:r>
      <w:r>
        <w:t xml:space="preserve"> Robert P. Merges, Peter S. Menell &amp; Mark A. Lemley, </w:t>
      </w:r>
      <w:r>
        <w:rPr>
          <w:i/>
          <w:iCs/>
        </w:rPr>
        <w:t xml:space="preserve">Intellectual Property in the New Technological Age</w:t>
      </w:r>
      <w:r>
        <w:t xml:space="preserve"> 312 (2022).</w:t>
      </w:r>
    </w:p>
    <w:p>
      <w:r>
        <w:t xml:space="preserve"/>
      </w:r>
    </w:p>
    <w:p>
      <w:pPr>
        <w:jc w:val="both"/>
      </w:pPr>
      <w:r>
        <w:t xml:space="preserve">        The historical context is also well-documented. </w:t>
      </w:r>
      <w:r>
        <w:rPr>
          <w:i/>
          <w:iCs/>
        </w:rPr>
        <w:t xml:space="preserve">See</w:t>
      </w:r>
      <w:r>
        <w:t xml:space="preserve"> William F. Patry, </w:t>
      </w:r>
      <w:r>
        <w:rPr>
          <w:i/>
          <w:iCs/>
        </w:rPr>
        <w:t xml:space="preserve">Patry on Copyright</w:t>
      </w:r>
      <w:r>
        <w:t xml:space="preserve"> § 4:17 (2024). </w:t>
      </w:r>
      <w:r>
        <w:t xml:space="preserve">The Restatement is consistent. </w:t>
      </w:r>
      <w:r>
        <w:rPr>
          <w:i/>
          <w:iCs/>
        </w:rPr>
        <w:t xml:space="preserve">See</w:t>
      </w:r>
      <w:r>
        <w:t xml:space="preserve"> Restatement (Third) of Unfair Competition § 38 (Am. L. Inst. 1995).</w:t>
      </w:r>
    </w:p>
    <w:p>
      <w:r>
        <w:t xml:space="preserve"/>
      </w:r>
    </w:p>
    <w:p>
      <w:r>
        <w:rPr>
          <w:b/>
          <w:bCs/>
        </w:rPr>
        <w:t xml:space="preserve">II.  Scholarly Authority Supports Plaintiff's Position</w:t>
      </w:r>
    </w:p>
    <w:p>
      <w:pPr>
        <w:jc w:val="both"/>
      </w:pPr>
      <w:r>
        <w:t xml:space="preserve">        The seminal article on this issue establishes the doctrinal framework. Pierre N. Leval, </w:t>
      </w:r>
      <w:r>
        <w:rPr>
          <w:i/>
          <w:iCs/>
        </w:rPr>
        <w:t xml:space="preserve">Toward a Fair Use Standard</w:t>
      </w:r>
      <w:r>
        <w:t xml:space="preserve">, 103 Harv. L. Rev. 1105, 1111 (1990). The Yale Law Journal has published influential analysis. </w:t>
      </w:r>
      <w:r>
        <w:t xml:space="preserve">Cass R. Sunstein, </w:t>
      </w:r>
      <w:r>
        <w:rPr>
          <w:i/>
          <w:iCs/>
        </w:rPr>
        <w:t xml:space="preserve">Beyond the Republican Revival</w:t>
      </w:r>
      <w:r>
        <w:t xml:space="preserve">, 97 Yale L.J. 1539, 1542 (1988). </w:t>
      </w:r>
      <w:r>
        <w:t xml:space="preserve">Recent commentary expands the analysis. Jane C. Ginsburg, A Tale of Two Copyrights: Literary Property in Revolutionary France and America, 64 Tul. L. Rev. 991, 998 (1990). </w:t>
      </w:r>
      <w:r>
        <w:t xml:space="preserve">The empirical literature is also informative. </w:t>
      </w:r>
      <w:r>
        <w:rPr>
          <w:i/>
          <w:iCs/>
        </w:rPr>
        <w:t xml:space="preserve">See</w:t>
      </w:r>
      <w:r>
        <w:t xml:space="preserve"> Barton Beebe, </w:t>
      </w:r>
      <w:r>
        <w:rPr>
          <w:i/>
          <w:iCs/>
        </w:rPr>
        <w:t xml:space="preserve">An Empirical Study of U.S. Copyright Fair Use Opinions, 1978-2005</w:t>
      </w:r>
      <w:r>
        <w:t xml:space="preserve">, 156 University of Pennsylvania Law Review 549, 581 (2008).</w:t>
      </w:r>
    </w:p>
    <w:p>
      <w:r>
        <w:t xml:space="preserve"/>
      </w:r>
    </w:p>
    <w:p>
      <w:pPr>
        <w:jc w:val="both"/>
      </w:pPr>
      <w:r>
        <w:t xml:space="preserve">        Student-authored scholarship is also relevant. </w:t>
      </w:r>
      <w:r>
        <w:rPr>
          <w:i/>
          <w:iCs/>
        </w:rPr>
        <w:t xml:space="preserve">See</w:t>
      </w:r>
      <w:r>
        <w:t xml:space="preserve"> Sarah Mitchell, Note, </w:t>
      </w:r>
      <w:r>
        <w:rPr>
          <w:i/>
          <w:iCs/>
        </w:rPr>
        <w:t xml:space="preserve">Algorithmic Copyright Enforcement and the DMCA Safe Harbor</w:t>
      </w:r>
      <w:r>
        <w:t xml:space="preserve">, Colum. L. Rev. 1422, 1437 (2023). </w:t>
      </w:r>
      <w:r>
        <w:t xml:space="preserve">Another student commentator addresses the question. </w:t>
      </w:r>
      <w:r>
        <w:rPr>
          <w:i/>
          <w:iCs/>
        </w:rPr>
        <w:t xml:space="preserve">See</w:t>
      </w:r>
      <w:r>
        <w:t xml:space="preserve"> Daniel Reyes, </w:t>
      </w:r>
      <w:r>
        <w:rPr>
          <w:i/>
          <w:iCs/>
        </w:rPr>
        <w:t xml:space="preserve">Fair Use After Warhol</w:t>
      </w:r>
      <w:r>
        <w:t xml:space="preserve">, 132 Yale L.J. 2178, 2191 (2023). </w:t>
      </w:r>
      <w:r>
        <w:t xml:space="preserve">Earlier commentary frames the issue similarly. </w:t>
      </w:r>
      <w:r>
        <w:rPr>
          <w:i/>
          <w:iCs/>
        </w:rPr>
        <w:t xml:space="preserve">See</w:t>
      </w:r>
      <w:r>
        <w:t xml:space="preserve"> Marcus Chen, Comment, </w:t>
      </w:r>
      <w:r>
        <w:rPr>
          <w:i/>
          <w:iCs/>
        </w:rPr>
        <w:t xml:space="preserve">Transformative Use After Campbell</w:t>
      </w:r>
      <w:r>
        <w:t xml:space="preserve">, 89 Geo. L.J. 1881, 1895 (2001).</w:t>
      </w:r>
    </w:p>
    <w:p>
      <w:r>
        <w:t xml:space="preserve"/>
      </w:r>
    </w:p>
    <w:p>
      <w:r>
        <w:rPr>
          <w:b/>
          <w:bCs/>
        </w:rPr>
        <w:t xml:space="preserve">III.  Forthcoming and Unpublished Scholarship Reinforces the Analysis</w:t>
      </w:r>
    </w:p>
    <w:p>
      <w:pPr>
        <w:jc w:val="both"/>
      </w:pPr>
      <w:r>
        <w:t xml:space="preserve">        A forthcoming article addresses the issue directly. </w:t>
      </w:r>
      <w:r>
        <w:rPr>
          <w:i/>
          <w:iCs/>
        </w:rPr>
        <w:t xml:space="preserve">See</w:t>
      </w:r>
      <w:r>
        <w:t xml:space="preserve"> Rebecca Tushnet, </w:t>
      </w:r>
      <w:r>
        <w:rPr>
          <w:i/>
          <w:iCs/>
        </w:rPr>
        <w:t xml:space="preserve">Generative AI and the Fair Use Doctrine</w:t>
      </w:r>
      <w:r>
        <w:t xml:space="preserve">, 138 Harv. L. Rev. (forthcoming 2025) (manuscript at 12). </w:t>
      </w:r>
      <w:r>
        <w:t xml:space="preserve">An unpublished manuscript reaches the same conclusion. James L. Wright, </w:t>
      </w:r>
      <w:r>
        <w:rPr>
          <w:i/>
          <w:iCs/>
        </w:rPr>
        <w:t xml:space="preserve">Reproduction Rights in the Digital Era</w:t>
      </w:r>
      <w:r>
        <w:t xml:space="preserve"> 28 (2023) (unpublished manuscript) (on file with author). </w:t>
      </w:r>
      <w:r>
        <w:t xml:space="preserve">Another working paper is on point. Maria Sanchez, </w:t>
      </w:r>
      <w:r>
        <w:rPr>
          <w:i/>
          <w:iCs/>
        </w:rPr>
        <w:t xml:space="preserve">Section 107 in Practice</w:t>
      </w:r>
      <w:r>
        <w:t xml:space="preserve"> 14 (2024) (on file with the Stanford Law Library). </w:t>
      </w:r>
      <w:r>
        <w:t xml:space="preserve">A symposium article will appear shortly. </w:t>
      </w:r>
      <w:r>
        <w:rPr>
          <w:i/>
          <w:iCs/>
        </w:rPr>
        <w:t xml:space="preserve">See</w:t>
      </w:r>
      <w:r>
        <w:t xml:space="preserve"> Andrew Tutt, </w:t>
      </w:r>
      <w:r>
        <w:rPr>
          <w:i/>
          <w:iCs/>
        </w:rPr>
        <w:t xml:space="preserve">Copyright Damages Reform</w:t>
      </w:r>
      <w:r>
        <w:t xml:space="preserve">, Colum. L. Rev. (forthcoming 2025).</w:t>
      </w:r>
    </w:p>
    <w:p>
      <w:r>
        <w:t xml:space="preserve"/>
      </w:r>
    </w:p>
    <w:p>
      <w:r>
        <w:rPr>
          <w:b/>
          <w:bCs/>
        </w:rPr>
        <w:t xml:space="preserve">IV.  Contemporary Reporting Confirms Plaintiff's Account</w:t>
      </w:r>
    </w:p>
    <w:p>
      <w:pPr>
        <w:jc w:val="both"/>
      </w:pPr>
      <w:r>
        <w:t xml:space="preserve">        Contemporary news coverage describes the controversy. </w:t>
      </w:r>
      <w:r>
        <w:rPr>
          <w:i/>
          <w:iCs/>
        </w:rPr>
        <w:t xml:space="preserve">See</w:t>
      </w:r>
      <w:r>
        <w:t xml:space="preserve"> Adam Liptak, </w:t>
      </w:r>
      <w:r>
        <w:rPr>
          <w:i/>
          <w:iCs/>
        </w:rPr>
        <w:t xml:space="preserve">Supreme Court Hears Arguments in Major Copyright Case</w:t>
      </w:r>
      <w:r>
        <w:t xml:space="preserve">, N.Y. Times (Mar. 14, 2024), https://www.nytimes.com/2024/03/14/us/scotus-copyright.html. </w:t>
      </w:r>
      <w:r>
        <w:t xml:space="preserve">Industry analysts have weighed in. </w:t>
      </w:r>
      <w:r>
        <w:rPr>
          <w:i/>
          <w:iCs/>
        </w:rPr>
        <w:t xml:space="preserve">See</w:t>
      </w:r>
      <w:r>
        <w:t xml:space="preserve"> Brad Stone, </w:t>
      </w:r>
      <w:r>
        <w:rPr>
          <w:i/>
          <w:iCs/>
        </w:rPr>
        <w:t xml:space="preserve">AI Companies Confront Copyright Reckoning</w:t>
      </w:r>
      <w:r>
        <w:t xml:space="preserve">, Bloomberg (June 8, 2024), https://www.bloomberg.com/news/articles/2024-06-08/ai-copyright. </w:t>
      </w:r>
      <w:r>
        <w:t xml:space="preserve">Trade press has covered the issue extensively. </w:t>
      </w:r>
      <w:r>
        <w:rPr>
          <w:i/>
          <w:iCs/>
        </w:rPr>
        <w:t xml:space="preserve">See</w:t>
      </w:r>
      <w:r>
        <w:t xml:space="preserve"> Ashley Cullins, </w:t>
      </w:r>
      <w:r>
        <w:rPr>
          <w:i/>
          <w:iCs/>
        </w:rPr>
        <w:t xml:space="preserve">Studios Press Their Case Before the Court</w:t>
      </w:r>
      <w:r>
        <w:t xml:space="preserve">, Hollywood Reporter (Aug. 22, 2024). </w:t>
      </w:r>
      <w:r>
        <w:t xml:space="preserve">The agency website provides the regulatory context. U.S. Copyright Office, </w:t>
      </w:r>
      <w:r>
        <w:rPr>
          <w:i/>
          <w:iCs/>
        </w:rPr>
        <w:t xml:space="preserve">Copyright Registration Guidance</w:t>
      </w:r>
      <w:r>
        <w:t xml:space="preserve">, https://www.copyright.gov/registration/. </w:t>
      </w:r>
      <w:r>
        <w:t xml:space="preserve">The relevant trade group's position is also instructive. Recording Indus. Ass'n of Am., </w:t>
      </w:r>
      <w:r>
        <w:rPr>
          <w:i/>
          <w:iCs/>
        </w:rPr>
        <w:t xml:space="preserve">Position on AI Training</w:t>
      </w:r>
      <w:r>
        <w:t xml:space="preserve"> (May 2024), http://www.riaa.com/policy/ai-training-position/.</w:t>
      </w:r>
    </w:p>
    <w:p>
      <w:r>
        <w:t xml:space="preserve"/>
      </w:r>
    </w:p>
    <w:p>
      <w:r>
        <w:rPr>
          <w:b/>
          <w:bCs/>
        </w:rPr>
        <w:t xml:space="preserve">V.  Statutory and Regulatory Authority</w:t>
      </w:r>
    </w:p>
    <w:p>
      <w:pPr>
        <w:jc w:val="both"/>
      </w:pPr>
      <w:r>
        <w:t xml:space="preserve">        The governing statutes are clear. </w:t>
      </w:r>
      <w:r>
        <w:rPr>
          <w:i/>
          <w:iCs/>
        </w:rPr>
        <w:t xml:space="preserve">See</w:t>
      </w:r>
      <w:r>
        <w:t xml:space="preserve"> 17 U.S.C. § 107; 17 U.S.C. § 501. The implementing regulations provide additional guidance. </w:t>
      </w:r>
      <w:r>
        <w:rPr>
          <w:i/>
          <w:iCs/>
        </w:rPr>
        <w:t xml:space="preserve">See</w:t>
      </w:r>
      <w:r>
        <w:t xml:space="preserve"> 37 C.F.R. § 201.10 (2024). The legislative history confirms congressional intent. </w:t>
      </w:r>
      <w:r>
        <w:rPr>
          <w:i/>
          <w:iCs/>
        </w:rPr>
        <w:t xml:space="preserve">See</w:t>
      </w:r>
      <w:r>
        <w:t xml:space="preserve"> H.R. Rep. No. 94-1476, at 65 (1976), as reprinted in 1976 U.S.C.C.A.N. 5659, 5678.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the motion for preliminary injunction should be granted. </w:t>
      </w:r>
      <w:r>
        <w:rPr>
          <w:i/>
          <w:iCs/>
        </w:rPr>
        <w:t xml:space="preserve">See</w:t>
      </w:r>
      <w:r>
        <w:t xml:space="preserve"> 17 U.S.C. § 502; Fed. R. Civ. P. 65.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Plaintiff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2026-04-29T18:39:52.422Z</dcterms:created>
  <dcterms:modified xsi:type="dcterms:W3CDTF">2026-04-29T18:39:52.423Z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