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IN THE UNITED STATES DISTRICT COURT</w:t>
      </w:r>
    </w:p>
    <w:p>
      <w:pPr>
        <w:jc w:val="center"/>
      </w:pPr>
      <w:r>
        <w:rPr>
          <w:b/>
          <w:bCs/>
        </w:rPr>
        <w:t xml:space="preserve">FOR THE DISTRICT OF COLUMBIA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single" w:color="000000" w:sz="6"/>
            </w:tcBorders>
            <w:tcMar>
              <w:top w:type="dxa" w:w="60"/>
              <w:left w:type="dxa" w:w="60"/>
              <w:bottom w:type="dxa" w:w="60"/>
              <w:right w:type="dxa" w:w="120"/>
            </w:tcMar>
          </w:tcPr>
          <w:p>
            <w:r>
              <w:t xml:space="preserve">HALVERSON PHARMACEUTICALS, INC.,</w:t>
            </w:r>
          </w:p>
          <w:p>
            <w:r>
              <w:t xml:space="preserve">            Plaintiff,</w:t>
            </w:r>
          </w:p>
          <w:p>
            <w:r>
              <w:t xml:space="preserve">v.</w:t>
            </w:r>
          </w:p>
          <w:p>
            <w:r>
              <w:t xml:space="preserve">FEDERAL TRADE COMMISSION,</w:t>
            </w:r>
          </w:p>
          <w:p>
            <w:r>
              <w:t xml:space="preserve">            Defendant.</w:t>
            </w:r>
          </w:p>
        </w:tc>
        <w:tc>
          <w:tcPr>
            <w:tcW w:type="dxa" w:w="4160"/>
            <w:tcBorders>
              <w:top w:val="none" w:color="FFFFFF" w:sz="0"/>
              <w:left w:val="none" w:color="FFFFFF" w:sz="0"/>
              <w:bottom w:val="none" w:color="FFFFFF" w:sz="0"/>
              <w:right w:val="none" w:color="FFFFFF" w:sz="0"/>
            </w:tcBorders>
            <w:tcMar>
              <w:top w:type="dxa" w:w="60"/>
              <w:left w:type="dxa" w:w="120"/>
              <w:bottom w:type="dxa" w:w="60"/>
              <w:right w:type="dxa" w:w="60"/>
            </w:tcMar>
          </w:tcPr>
          <w:p>
            <w:r>
              <w:t xml:space="preserve">Case No. 26-CV-00951-EJB</w:t>
            </w:r>
          </w:p>
          <w:p>
            <w:r>
              <w:t xml:space="preserve"/>
            </w:r>
          </w:p>
          <w:p>
            <w:r>
              <w:t xml:space="preserve">Hon. Eleanor J. Boyd</w:t>
            </w:r>
          </w:p>
        </w:tc>
      </w:tr>
    </w:tbl>
    <w:p>
      <w:r>
        <w:t xml:space="preserve"/>
      </w:r>
    </w:p>
    <w:p>
      <w:pPr>
        <w:jc w:val="center"/>
      </w:pPr>
      <w:r>
        <w:rPr>
          <w:b/>
          <w:bCs/>
        </w:rPr>
        <w:t xml:space="preserve">PLAINTIFF'S MEMORANDUM IN SUPPORT OF MOTION TO ENJOIN AGENCY ACTION</w:t>
      </w:r>
    </w:p>
    <w:p>
      <w:r>
        <w:t xml:space="preserve"/>
      </w:r>
    </w:p>
    <w:p>
      <w:r>
        <w:rPr>
          <w:b/>
          <w:bCs/>
        </w:rPr>
        <w:t xml:space="preserve">INTRODUCTION</w:t>
      </w:r>
    </w:p>
    <w:p>
      <w:pPr>
        <w:jc w:val="both"/>
      </w:pPr>
      <w:r>
        <w:t xml:space="preserve">        Plaintiff seeks to enjoin Defendant's enforcement of an unconstitutional rule. Congress did not authorize the agency action at issue, and the rule violates the nondelegation doctrine and the separation of powers established by the Constitution. </w:t>
      </w:r>
      <w:r>
        <w:rPr>
          <w:i/>
          <w:iCs/>
        </w:rPr>
        <w:t xml:space="preserve">See</w:t>
      </w:r>
      <w:r>
        <w:t xml:space="preserve"> U.S. Const. art. I, § 1; U.S. Const. art. II, § 1, cl. 1. The Federal Trade Commission Act does not extend so far. 15 U.S.C. § 45(a).</w:t>
      </w:r>
    </w:p>
    <w:p>
      <w:r>
        <w:t xml:space="preserve"/>
      </w:r>
    </w:p>
    <w:p>
      <w:r>
        <w:rPr>
          <w:b/>
          <w:bCs/>
        </w:rPr>
        <w:t xml:space="preserve">ARGUMENT</w:t>
      </w:r>
    </w:p>
    <w:p>
      <w:r>
        <w:t xml:space="preserve"/>
      </w:r>
    </w:p>
    <w:p>
      <w:r>
        <w:rPr>
          <w:b/>
          <w:bCs/>
        </w:rPr>
        <w:t xml:space="preserve">I.  The Rule Violates the Separation of Powers</w:t>
      </w:r>
    </w:p>
    <w:p>
      <w:pPr>
        <w:jc w:val="both"/>
      </w:pPr>
      <w:r>
        <w:t xml:space="preserve">        The challenged rule oversteps Article I authority. </w:t>
      </w:r>
      <w:r>
        <w:rPr>
          <w:i/>
          <w:iCs/>
        </w:rPr>
        <w:t xml:space="preserve">See</w:t>
      </w:r>
      <w:r>
        <w:t xml:space="preserve"> U.S. Const. art. I, § 8, cl. 3 (Commerce Clause). It also implicates Fifth Amendment due-process protections. </w:t>
      </w:r>
      <w:r>
        <w:rPr>
          <w:i/>
          <w:iCs/>
        </w:rPr>
        <w:t xml:space="preserve">See</w:t>
      </w:r>
      <w:r>
        <w:t xml:space="preserve"> U.S. Const. amend. V. The Fourteenth Amendment further limits state action. </w:t>
      </w:r>
      <w:r>
        <w:rPr>
          <w:i/>
          <w:iCs/>
        </w:rPr>
        <w:t xml:space="preserve">See</w:t>
      </w:r>
      <w:r>
        <w:t xml:space="preserve"> U.S. Const. amend. XIV, § 1. </w:t>
      </w:r>
      <w:r>
        <w:t xml:space="preserve">Other amendments are also relevant. U.S. Const. amend. 14, § 5. </w:t>
      </w:r>
      <w:r>
        <w:t xml:space="preserve">Article-level structural arguments also apply. </w:t>
      </w:r>
      <w:r>
        <w:rPr>
          <w:i/>
          <w:iCs/>
        </w:rPr>
        <w:t xml:space="preserve">See</w:t>
      </w:r>
      <w:r>
        <w:t xml:space="preserve"> U.S. Const. art III, § 2. </w:t>
      </w:r>
      <w:r>
        <w:t xml:space="preserve">State constitutional analogs are similar. </w:t>
      </w:r>
      <w:r>
        <w:rPr>
          <w:i/>
          <w:iCs/>
        </w:rPr>
        <w:t xml:space="preserve">See</w:t>
      </w:r>
      <w:r>
        <w:t xml:space="preserve"> Cal. const. art. I, § 7.</w:t>
      </w:r>
    </w:p>
    <w:p>
      <w:r>
        <w:t xml:space="preserve"/>
      </w:r>
    </w:p>
    <w:p>
      <w:r>
        <w:rPr>
          <w:b/>
          <w:bCs/>
        </w:rPr>
        <w:t xml:space="preserve">II.  Legislative History Confirms Plaintiff's Reading</w:t>
      </w:r>
    </w:p>
    <w:p>
      <w:pPr>
        <w:jc w:val="both"/>
      </w:pPr>
      <w:r>
        <w:t xml:space="preserve">        The legislative history is clear. </w:t>
      </w:r>
      <w:r>
        <w:rPr>
          <w:i/>
          <w:iCs/>
        </w:rPr>
        <w:t xml:space="preserve">See</w:t>
      </w:r>
      <w:r>
        <w:t xml:space="preserve"> H.R. Rep. No. 117-456, at 23 (2022). </w:t>
      </w:r>
      <w:r>
        <w:t xml:space="preserve">Earlier hearings raised similar concerns. </w:t>
      </w:r>
      <w:r>
        <w:rPr>
          <w:i/>
          <w:iCs/>
        </w:rPr>
        <w:t xml:space="preserve">See</w:t>
      </w:r>
      <w:r>
        <w:t xml:space="preserve"> S. Rep. No. 116-89, at 14 (2019). </w:t>
      </w:r>
      <w:r>
        <w:t xml:space="preserve">The implementing legislation is also instructive. </w:t>
      </w:r>
      <w:r>
        <w:rPr>
          <w:i/>
          <w:iCs/>
        </w:rPr>
        <w:t xml:space="preserve">See</w:t>
      </w:r>
      <w:r>
        <w:t xml:space="preserve"> H.R. 4173, 111th Cong. § 1031 (2010). </w:t>
      </w:r>
      <w:r>
        <w:t xml:space="preserve">Earlier bills frame the issue. </w:t>
      </w:r>
      <w:r>
        <w:rPr>
          <w:i/>
          <w:iCs/>
        </w:rPr>
        <w:t xml:space="preserve">See</w:t>
      </w:r>
      <w:r>
        <w:t xml:space="preserve"> S. 510 (2009). </w:t>
      </w:r>
      <w:r>
        <w:t xml:space="preserve">Committee analysis explored these problems. </w:t>
      </w:r>
      <w:r>
        <w:rPr>
          <w:i/>
          <w:iCs/>
        </w:rPr>
        <w:t xml:space="preserve">See</w:t>
      </w:r>
      <w:r>
        <w:t xml:space="preserve"> H.R. Rep. No. 1234, at 8 (1998).</w:t>
      </w:r>
    </w:p>
    <w:p>
      <w:r>
        <w:t xml:space="preserve"/>
      </w:r>
    </w:p>
    <w:p>
      <w:pPr>
        <w:jc w:val="both"/>
      </w:pPr>
      <w:r>
        <w:t xml:space="preserve">        Floor debate was extensive. </w:t>
      </w:r>
      <w:r>
        <w:rPr>
          <w:i/>
          <w:iCs/>
        </w:rPr>
        <w:t xml:space="preserve">See</w:t>
      </w:r>
      <w:r>
        <w:t xml:space="preserve"> 163 Cong. Rec. 12,345 (2017) (statement of Sen. Smith). </w:t>
      </w:r>
      <w:r>
        <w:t xml:space="preserve">Subsequent debate clarified the scope. </w:t>
      </w:r>
      <w:r>
        <w:rPr>
          <w:i/>
          <w:iCs/>
        </w:rPr>
        <w:t xml:space="preserve">See</w:t>
      </w:r>
      <w:r>
        <w:t xml:space="preserve"> 165 Cong. Rec. 23456 (2019). </w:t>
      </w:r>
      <w:r>
        <w:t xml:space="preserve">Committee hearings provide additional context. </w:t>
      </w:r>
      <w:r>
        <w:rPr>
          <w:i/>
          <w:iCs/>
        </w:rPr>
        <w:t xml:space="preserve">See</w:t>
      </w:r>
      <w:r>
        <w:t xml:space="preserve"> </w:t>
      </w:r>
      <w:r>
        <w:rPr>
          <w:i/>
          <w:iCs/>
        </w:rPr>
        <w:t xml:space="preserve">Reform of the Federal Trade Commission: Hearing Before the Subcomm. on Consumer Prot. of the H. Comm. on Energy &amp; Com.</w:t>
      </w:r>
      <w:r>
        <w:t xml:space="preserve">, 117th Cong. 45 (2022) (statement of Lina Khan, Chair, FTC).</w:t>
      </w:r>
    </w:p>
    <w:p>
      <w:r>
        <w:t xml:space="preserve"/>
      </w:r>
    </w:p>
    <w:p>
      <w:r>
        <w:rPr>
          <w:b/>
          <w:bCs/>
        </w:rPr>
        <w:t xml:space="preserve">III.  The Agency's Procedural Posture Is Improper</w:t>
      </w:r>
    </w:p>
    <w:p>
      <w:pPr>
        <w:jc w:val="both"/>
      </w:pPr>
      <w:r>
        <w:t xml:space="preserve">        The Final Rule was published last year. </w:t>
      </w:r>
      <w:r>
        <w:rPr>
          <w:i/>
          <w:iCs/>
        </w:rPr>
        <w:t xml:space="preserve">See</w:t>
      </w:r>
      <w:r>
        <w:t xml:space="preserve"> 88 Fed. Reg. 56,789 (Aug. 17, 2023) (to be codified at 16 C.F.R. pt. 910). </w:t>
      </w:r>
      <w:r>
        <w:t xml:space="preserve">The proposed rule preceded it. </w:t>
      </w:r>
      <w:r>
        <w:rPr>
          <w:i/>
          <w:iCs/>
        </w:rPr>
        <w:t xml:space="preserve">See</w:t>
      </w:r>
      <w:r>
        <w:t xml:space="preserve"> 87 Fed. Reg. 76,732 (proposed Dec. 14, 2022). </w:t>
      </w:r>
      <w:r>
        <w:t xml:space="preserve">An earlier notice raised similar concerns. </w:t>
      </w:r>
      <w:r>
        <w:rPr>
          <w:i/>
          <w:iCs/>
        </w:rPr>
        <w:t xml:space="preserve">See</w:t>
      </w:r>
      <w:r>
        <w:t xml:space="preserve"> 86 Fed. Reg. 35421 (June 30, 2021). </w:t>
      </w:r>
      <w:r>
        <w:t xml:space="preserve">A subsequent guidance document was published. </w:t>
      </w:r>
      <w:r>
        <w:rPr>
          <w:i/>
          <w:iCs/>
        </w:rPr>
        <w:t xml:space="preserve">See</w:t>
      </w:r>
      <w:r>
        <w:t xml:space="preserve"> Fed. Reg. 8,234 (Feb. 12, 2024). </w:t>
      </w:r>
      <w:r>
        <w:t xml:space="preserve">Executive authority is also relevant. </w:t>
      </w:r>
      <w:r>
        <w:rPr>
          <w:i/>
          <w:iCs/>
        </w:rPr>
        <w:t xml:space="preserve">See</w:t>
      </w:r>
      <w:r>
        <w:t xml:space="preserve"> Exec. Order No. 14,028, 86 Fed. Reg. 26,633 (May 12, 2021). </w:t>
      </w:r>
      <w:r>
        <w:t xml:space="preserve">The implementing regulations confirm this reading. </w:t>
      </w:r>
      <w:r>
        <w:rPr>
          <w:i/>
          <w:iCs/>
        </w:rPr>
        <w:t xml:space="preserve">See</w:t>
      </w:r>
      <w:r>
        <w:t xml:space="preserve"> 16 C.F.R. § 910.3(a) (2024).</w:t>
      </w:r>
    </w:p>
    <w:p>
      <w:r>
        <w:t xml:space="preserve"/>
      </w:r>
    </w:p>
    <w:p>
      <w:r>
        <w:rPr>
          <w:b/>
          <w:bCs/>
        </w:rPr>
        <w:t xml:space="preserve">IV.  This Court Should Enjoin the Agency's Enforcement</w:t>
      </w:r>
    </w:p>
    <w:p>
      <w:pPr>
        <w:jc w:val="both"/>
      </w:pPr>
      <w:r>
        <w:t xml:space="preserve">        Congress has not authorized the agency to act in this manner. The Constitution's nondelegation principles forbid such action. </w:t>
      </w:r>
      <w:r>
        <w:rPr>
          <w:i/>
          <w:iCs/>
        </w:rPr>
        <w:t xml:space="preserve">See</w:t>
      </w:r>
      <w:r>
        <w:t xml:space="preserve"> </w:t>
      </w:r>
      <w:r>
        <w:rPr>
          <w:i/>
          <w:iCs/>
        </w:rPr>
        <w:t xml:space="preserve">Gundy v. United States</w:t>
      </w:r>
      <w:r>
        <w:t xml:space="preserve">, 588 U.S. 128, 135 (2019). </w:t>
      </w:r>
      <w:r>
        <w:t xml:space="preserve">This Court has previously addressed similar agency overreach. </w:t>
      </w:r>
      <w:r>
        <w:t xml:space="preserve">The Court of Appeals for the D.C. Circuit has confirmed Plaintiff's position. </w:t>
      </w:r>
      <w:r>
        <w:rPr>
          <w:i/>
          <w:iCs/>
        </w:rPr>
        <w:t xml:space="preserve">See</w:t>
      </w:r>
      <w:r>
        <w:t xml:space="preserve"> </w:t>
      </w:r>
      <w:r>
        <w:rPr>
          <w:i/>
          <w:iCs/>
        </w:rPr>
        <w:t xml:space="preserve">Am. Hosp. Ass'n v. Becerra</w:t>
      </w:r>
      <w:r>
        <w:t xml:space="preserve">, 142 S. Ct. 1896, 1903 (2022). </w:t>
      </w:r>
      <w:r>
        <w:t xml:space="preserve">The Supreme Court has been emphatic on the limits of agency power. </w:t>
      </w:r>
      <w:r>
        <w:rPr>
          <w:i/>
          <w:iCs/>
        </w:rPr>
        <w:t xml:space="preserve">See</w:t>
      </w:r>
      <w:r>
        <w:t xml:space="preserve"> </w:t>
      </w:r>
      <w:r>
        <w:rPr>
          <w:i/>
          <w:iCs/>
        </w:rPr>
        <w:t xml:space="preserve">West Virginia v. EPA</w:t>
      </w:r>
      <w:r>
        <w:t xml:space="preserve">, 597 U.S. 697, 723 (2022). </w:t>
      </w:r>
      <w:r>
        <w:t xml:space="preserve">Plaintiff's challenge is grounded in the constitution itself. </w:t>
      </w:r>
      <w:r>
        <w:t xml:space="preserve">Indeed, the agency exceeds the boundaries congress set in 1914.</w:t>
      </w:r>
    </w:p>
    <w:p>
      <w:r>
        <w:t xml:space="preserve"/>
      </w:r>
    </w:p>
    <w:p>
      <w:pPr>
        <w:jc w:val="both"/>
      </w:pPr>
      <w:r>
        <w:t xml:space="preserve">        Defendant's enforcement decisions are subject to judicial review. </w:t>
      </w:r>
      <w:r>
        <w:t xml:space="preserve">Federal courts have repeatedly invalidated similar agency rules. </w:t>
      </w:r>
      <w:r>
        <w:rPr>
          <w:i/>
          <w:iCs/>
        </w:rPr>
        <w:t xml:space="preserve">See</w:t>
      </w:r>
      <w:r>
        <w:t xml:space="preserve"> </w:t>
      </w:r>
      <w:r>
        <w:rPr>
          <w:i/>
          <w:iCs/>
        </w:rPr>
        <w:t xml:space="preserve">Loper Bright Enters. v. Raimondo</w:t>
      </w:r>
      <w:r>
        <w:t xml:space="preserve">, 144 S. Ct. 2244, 2261 (2024). </w:t>
      </w:r>
      <w:r>
        <w:t xml:space="preserve">These principles trace to the foundational text of the bill of rights. </w:t>
      </w:r>
      <w:r>
        <w:t xml:space="preserve">The agency's authority must derive from Article I.</w:t>
      </w:r>
    </w:p>
    <w:p>
      <w:r>
        <w:t xml:space="preserve"/>
      </w:r>
    </w:p>
    <w:p>
      <w:r>
        <w:rPr>
          <w:b/>
          <w:bCs/>
        </w:rPr>
        <w:t xml:space="preserve">V.  Statutory and Constitutional Authority</w:t>
      </w:r>
    </w:p>
    <w:p>
      <w:pPr>
        <w:jc w:val="both"/>
      </w:pPr>
      <w:r>
        <w:t xml:space="preserve">        The governing provisions are set forth below. </w:t>
      </w:r>
      <w:r>
        <w:rPr>
          <w:i/>
          <w:iCs/>
        </w:rPr>
        <w:t xml:space="preserve">See</w:t>
      </w:r>
      <w:r>
        <w:t xml:space="preserve"> 5 U.S.C. § 706(2)(A); 15 U.S.C. § 45(a)(1); 28 U.S.C. § 1331. </w:t>
      </w:r>
      <w:r>
        <w:t xml:space="preserve">The constitutional grounds are well-established. </w:t>
      </w:r>
      <w:r>
        <w:rPr>
          <w:i/>
          <w:iCs/>
        </w:rPr>
        <w:t xml:space="preserve">See</w:t>
      </w:r>
      <w:r>
        <w:t xml:space="preserve"> U.S. Const. art. III, § 2, cl. 1. </w:t>
      </w:r>
      <w:r>
        <w:t xml:space="preserve">Article II vests the executive power in the President. </w:t>
      </w:r>
      <w:r>
        <w:rPr>
          <w:i/>
          <w:iCs/>
        </w:rPr>
        <w:t xml:space="preserve">See</w:t>
      </w:r>
      <w:r>
        <w:t xml:space="preserve"> U.S. Const. art. II, § 1, cl. 1. </w:t>
      </w:r>
      <w:r>
        <w:t xml:space="preserve">Both the Senate and the House of Representatives must concur in legislation. </w:t>
      </w:r>
      <w:r>
        <w:rPr>
          <w:i/>
          <w:iCs/>
        </w:rPr>
        <w:t xml:space="preserve">See</w:t>
      </w:r>
      <w:r>
        <w:t xml:space="preserve"> U.S. Const. art. I, § 7, cl. 2.</w:t>
      </w:r>
    </w:p>
    <w:p>
      <w:r>
        <w:t xml:space="preserve"/>
      </w:r>
    </w:p>
    <w:p>
      <w:r>
        <w:rPr>
          <w:b/>
          <w:bCs/>
        </w:rPr>
        <w:t xml:space="preserve">CONCLUSION</w:t>
      </w:r>
    </w:p>
    <w:p>
      <w:pPr>
        <w:jc w:val="both"/>
      </w:pPr>
      <w:r>
        <w:t xml:space="preserve">        For the foregoing reasons, the Court should enjoin Defendant's enforcement of the challenged rule. </w:t>
      </w:r>
      <w:r>
        <w:rPr>
          <w:i/>
          <w:iCs/>
        </w:rPr>
        <w:t xml:space="preserve">See</w:t>
      </w:r>
      <w:r>
        <w:t xml:space="preserve"> Fed. R. Civ. P. 65; </w:t>
      </w:r>
      <w:r>
        <w:rPr>
          <w:i/>
          <w:iCs/>
        </w:rPr>
        <w:t xml:space="preserve">Winter v. Nat. Res. Def. Council</w:t>
      </w:r>
      <w:r>
        <w:t xml:space="preserve">, 555 U.S. 7, 20 (2008).</w:t>
      </w:r>
    </w:p>
    <w:p>
      <w:r>
        <w:t xml:space="preserve"/>
      </w:r>
    </w:p>
    <w:p>
      <w:r>
        <w:t xml:space="preserve">Respectfully submitted,</w:t>
      </w:r>
    </w:p>
    <w:p>
      <w:r>
        <w:t xml:space="preserve"/>
      </w:r>
    </w:p>
    <w:p>
      <w:r>
        <w:t xml:space="preserve">/s/ Counsel for Plaintiff</w:t>
      </w:r>
    </w:p>
    <w:sectPr>
      <w:pgSz w:w="12240" w:h="15840" w:orient="portrait"/>
      <w:pgMar w:top="1224" w:right="1440" w:bottom="122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2026-04-29T19:37:01.429Z</dcterms:created>
  <dcterms:modified xsi:type="dcterms:W3CDTF">2026-04-29T19:37:01.430Z</dcterms:modified>
</cp:coreProperties>
</file>

<file path=docProps/custom.xml><?xml version="1.0" encoding="utf-8"?>
<Properties xmlns="http://schemas.openxmlformats.org/officeDocument/2006/custom-properties" xmlns:vt="http://schemas.openxmlformats.org/officeDocument/2006/docPropsVTypes"/>
</file>