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</w:rPr>
        <w:t xml:space="preserve">IN THE UNITED STATES DISTRICT COURT</w:t>
      </w:r>
    </w:p>
    <w:p>
      <w:pPr>
        <w:jc w:val="center"/>
      </w:pPr>
      <w:r>
        <w:rPr>
          <w:b/>
          <w:bCs/>
        </w:rPr>
        <w:t xml:space="preserve">FOR THE NORTHERN DISTRICT OF ILLINOIS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6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r>
              <w:t xml:space="preserve">STERLING CAPITAL PARTNERS LLC,</w:t>
            </w:r>
          </w:p>
          <w:p>
            <w:r>
              <w:t xml:space="preserve">            Plaintiff,</w:t>
            </w:r>
          </w:p>
          <w:p>
            <w:r>
              <w:t xml:space="preserve">v.</w:t>
            </w:r>
          </w:p>
          <w:p>
            <w:r>
              <w:t xml:space="preserve">VANGUARD HOLDINGS GROUP, INC.,</w:t>
            </w:r>
          </w:p>
          <w:p>
            <w:r>
              <w:t xml:space="preserve">            Defendant.</w:t>
            </w:r>
          </w:p>
        </w:tc>
        <w:tc>
          <w:tcPr>
            <w:tcW w:type="dxa" w:w="4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t xml:space="preserve">Case No. 26-CV-03128-PJK</w:t>
            </w:r>
          </w:p>
          <w:p>
            <w:r>
              <w:t xml:space="preserve"/>
            </w:r>
          </w:p>
          <w:p>
            <w:r>
              <w:t xml:space="preserve">Hon. Patricia J. Kim</w:t>
            </w:r>
          </w:p>
        </w:tc>
      </w:tr>
    </w:tbl>
    <w:p>
      <w:r>
        <w:t xml:space="preserve"/>
      </w:r>
    </w:p>
    <w:p>
      <w:pPr>
        <w:jc w:val="center"/>
      </w:pPr>
      <w:r>
        <w:rPr>
          <w:b/>
          <w:bCs/>
        </w:rPr>
        <w:t xml:space="preserve">DEFENDANT'S REPLY MEMORANDUM IN SUPPORT OF MOTION TO DISMISS</w:t>
      </w:r>
    </w:p>
    <w:p>
      <w:r>
        <w:t xml:space="preserve"/>
      </w:r>
    </w:p>
    <w:p>
      <w:r>
        <w:rPr>
          <w:b/>
          <w:bCs/>
        </w:rPr>
        <w:t xml:space="preserve">INTRODUCTION</w:t>
      </w:r>
    </w:p>
    <w:p>
      <w:pPr>
        <w:jc w:val="both"/>
      </w:pPr>
      <w:r>
        <w:t xml:space="preserve">        This Reply addresses Plaintiff's Opposition. The applicable pleading standard is established in </w:t>
      </w:r>
      <w:r>
        <w:rPr>
          <w:i/>
          <w:iCs/>
        </w:rPr>
        <w:t xml:space="preserve">Bell Atlantic Corp. v. Twombly</w:t>
      </w:r>
      <w:r>
        <w:t xml:space="preserve">, 550 U.S. 544 (2007), and refined in </w:t>
      </w:r>
      <w:r>
        <w:rPr>
          <w:i/>
          <w:iCs/>
        </w:rPr>
        <w:t xml:space="preserve">Ashcroft v. Iqbal</w:t>
      </w:r>
      <w:r>
        <w:t xml:space="preserve">, 556 U.S. 662 (2009). The leading commentary on these cases addresses the issue squarely. </w:t>
      </w:r>
      <w:r>
        <w:rPr>
          <w:i/>
          <w:iCs/>
        </w:rPr>
        <w:t xml:space="preserve">See</w:t>
      </w:r>
      <w:r>
        <w:t xml:space="preserve"> 5B Charles Alan Wright &amp; Arthur R. Miller, </w:t>
      </w:r>
      <w:r>
        <w:rPr>
          <w:i/>
          <w:iCs/>
        </w:rPr>
        <w:t xml:space="preserve">Federal Practice and Procedure</w:t>
      </w:r>
      <w:r>
        <w:t xml:space="preserve"> § 1357 (3d ed. 2024). Other authorities concur. </w:t>
      </w:r>
      <w:r>
        <w:rPr>
          <w:i/>
          <w:iCs/>
        </w:rPr>
        <w:t xml:space="preserve">See</w:t>
      </w:r>
      <w:r>
        <w:t xml:space="preserve"> Stephen B. Burbank, </w:t>
      </w:r>
      <w:r>
        <w:rPr>
          <w:i/>
          <w:iCs/>
        </w:rPr>
        <w:t xml:space="preserve">Pleading and the Dilemmas of Modern American Procedure</w:t>
      </w:r>
      <w:r>
        <w:t xml:space="preserve">, 93 Judicature 109, 112 (2009).</w:t>
      </w:r>
    </w:p>
    <w:p>
      <w:r>
        <w:t xml:space="preserve"/>
      </w:r>
    </w:p>
    <w:p>
      <w:r>
        <w:rPr>
          <w:b/>
          <w:bCs/>
        </w:rPr>
        <w:t xml:space="preserve">ARGUMENT</w:t>
      </w:r>
    </w:p>
    <w:p>
      <w:r>
        <w:t xml:space="preserve"/>
      </w:r>
    </w:p>
    <w:p>
      <w:r>
        <w:rPr>
          <w:b/>
          <w:bCs/>
        </w:rPr>
        <w:t xml:space="preserve">I.  Plausibility Pleading Requires More Than Plaintiff Has Alleged</w:t>
      </w:r>
    </w:p>
    <w:p>
      <w:pPr>
        <w:jc w:val="both"/>
      </w:pPr>
      <w:r>
        <w:t xml:space="preserve">        The plausibility standard is exacting. </w:t>
      </w:r>
      <w:r>
        <w:rPr>
          <w:i/>
          <w:iCs/>
        </w:rPr>
        <w:t xml:space="preserve">Twombly</w:t>
      </w:r>
      <w:r>
        <w:t xml:space="preserve">, 550 U.S. at 555. "A pleading that offers labels and conclusions or a formulaic recitation of the elements of a cause of action will not do." </w:t>
      </w:r>
      <w:r>
        <w:rPr>
          <w:i/>
          <w:iCs/>
        </w:rPr>
        <w:t xml:space="preserve">Id.</w:t>
      </w:r>
      <w:r>
        <w:t xml:space="preserve"> The Court further explained that factual allegations must be enough to raise a right to relief above the speculative level. </w:t>
      </w:r>
      <w:r>
        <w:rPr>
          <w:i/>
          <w:iCs/>
        </w:rPr>
        <w:t xml:space="preserve">Id.</w:t>
      </w:r>
      <w:r>
        <w:t xml:space="preserve"> at 555-56. The </w:t>
      </w:r>
      <w:r>
        <w:rPr>
          <w:i/>
          <w:iCs/>
        </w:rPr>
        <w:t xml:space="preserve">Iqbal</w:t>
      </w:r>
      <w:r>
        <w:t xml:space="preserve"> Court extended this principle. 556 U.S. at 678. "The plausibility standard is not akin to a probability requirement, but it asks for more than a sheer possibility that a defendant has acted unlawfully." </w:t>
      </w:r>
      <w:r>
        <w:rPr>
          <w:i/>
          <w:iCs/>
        </w:rPr>
        <w:t xml:space="preserve">Id.</w:t>
      </w:r>
      <w:r>
        <w:t xml:space="preserve"> These principles are well-settled. </w:t>
      </w:r>
      <w:r>
        <w:rPr>
          <w:i/>
          <w:iCs/>
        </w:rPr>
        <w:t xml:space="preserve">See generally</w:t>
      </w:r>
      <w:r>
        <w:t xml:space="preserve"> 5B Wright &amp; Miller, </w:t>
      </w:r>
      <w:r>
        <w:rPr>
          <w:i/>
          <w:iCs/>
        </w:rPr>
        <w:t xml:space="preserve">supra</w:t>
      </w:r>
      <w:r>
        <w:t xml:space="preserve">, § 1357.</w:t>
      </w:r>
    </w:p>
    <w:p>
      <w:r>
        <w:t xml:space="preserve"/>
      </w:r>
    </w:p>
    <w:p>
      <w:r>
        <w:rPr>
          <w:b/>
          <w:bCs/>
        </w:rPr>
        <w:t xml:space="preserve">II.  Plaintiff's Reliance on Intervening Authority Fails</w:t>
      </w:r>
    </w:p>
    <w:p>
      <w:pPr>
        <w:jc w:val="both"/>
      </w:pPr>
      <w:r>
        <w:t xml:space="preserve">        Plaintiff cites several decisions, but each falls short. The leading case remains </w:t>
      </w:r>
      <w:r>
        <w:rPr>
          <w:i/>
          <w:iCs/>
        </w:rPr>
        <w:t xml:space="preserve">Iqbal</w:t>
      </w:r>
      <w:r>
        <w:t xml:space="preserve">, 556 U.S. at 678. The Seventh Circuit has applied this standard rigorously. </w:t>
      </w:r>
      <w:r>
        <w:rPr>
          <w:i/>
          <w:iCs/>
        </w:rPr>
        <w:t xml:space="preserve">See Tamayo v. Blagojevich</w:t>
      </w:r>
      <w:r>
        <w:t xml:space="preserve">, 526 F.3d 1074, 1081 (7th Cir. 2008). </w:t>
      </w:r>
      <w:r>
        <w:rPr>
          <w:i/>
          <w:iCs/>
        </w:rPr>
        <w:t xml:space="preserve">Id.</w:t>
      </w:r>
      <w:r>
        <w:t xml:space="preserve"> at 685 ("the standard does not require detailed factual allegations"). The reasoning is sound. The Eleventh Circuit has reached similar conclusions. </w:t>
      </w:r>
      <w:r>
        <w:rPr>
          <w:i/>
          <w:iCs/>
        </w:rPr>
        <w:t xml:space="preserve">See Am. Dental Ass'n v. Cigna Corp.</w:t>
      </w:r>
      <w:r>
        <w:t xml:space="preserve">, 605 F.3d 1283, 1289 (11th Cir. 2010); </w:t>
      </w:r>
      <w:r>
        <w:rPr>
          <w:i/>
          <w:iCs/>
        </w:rPr>
        <w:t xml:space="preserve">Speaker v. U.S. Dep't of Health &amp; Human Servs.</w:t>
      </w:r>
      <w:r>
        <w:t xml:space="preserve">, 623 F.3d 1371, 1381 (11th Cir. 2010). </w:t>
      </w:r>
      <w:r>
        <w:rPr>
          <w:i/>
          <w:iCs/>
        </w:rPr>
        <w:t xml:space="preserve">Id.</w:t>
      </w:r>
      <w:r>
        <w:t xml:space="preserve"> at 1289.</w:t>
      </w:r>
    </w:p>
    <w:p>
      <w:r>
        <w:t xml:space="preserve"/>
      </w:r>
    </w:p>
    <w:p>
      <w:pPr>
        <w:jc w:val="both"/>
      </w:pPr>
      <w:r>
        <w:t xml:space="preserve">        Other circuits have applied the standard variably. </w:t>
      </w:r>
      <w:r>
        <w:rPr>
          <w:i/>
          <w:iCs/>
        </w:rPr>
        <w:t xml:space="preserve">See Fowler v. UPMC Shadyside</w:t>
      </w:r>
      <w:r>
        <w:t xml:space="preserve">, 578 F.3d 203, 210 (3d Cir. 2009); </w:t>
      </w:r>
      <w:r>
        <w:rPr>
          <w:i/>
          <w:iCs/>
        </w:rPr>
        <w:t xml:space="preserve">Mayfield v. Nat'l Ass'n for Stock Car Auto Racing, Inc.</w:t>
      </w:r>
      <w:r>
        <w:t xml:space="preserve">, 674 F.3d 369, 377 (4th Cir. 2012). The Sixth Circuit's approach is also instructive. </w:t>
      </w:r>
      <w:r>
        <w:rPr>
          <w:i/>
          <w:iCs/>
        </w:rPr>
        <w:t xml:space="preserve">See Hensley Mfg. v. ProPride, Inc.</w:t>
      </w:r>
      <w:r>
        <w:t xml:space="preserve">, 579 F.3d 603, 609 (6th Cir. 2009). </w:t>
      </w:r>
      <w:r>
        <w:rPr>
          <w:i/>
          <w:iCs/>
        </w:rPr>
        <w:t xml:space="preserve">Id.</w:t>
      </w:r>
      <w:r>
        <w:t xml:space="preserve"> The doctrinal landscape varies.</w:t>
      </w:r>
    </w:p>
    <w:p>
      <w:r>
        <w:t xml:space="preserve"/>
      </w:r>
    </w:p>
    <w:p>
      <w:r>
        <w:rPr>
          <w:b/>
          <w:bCs/>
        </w:rPr>
        <w:t xml:space="preserve">III.  Secondary Authority Confirms Defendant's Reading</w:t>
      </w:r>
    </w:p>
    <w:p>
      <w:pPr>
        <w:jc w:val="both"/>
      </w:pPr>
      <w:r>
        <w:t xml:space="preserve">        The leading commentary supports Defendant. </w:t>
      </w:r>
      <w:r>
        <w:rPr>
          <w:i/>
          <w:iCs/>
        </w:rPr>
        <w:t xml:space="preserve">See</w:t>
      </w:r>
      <w:r>
        <w:t xml:space="preserve"> Wright &amp; Miller, </w:t>
      </w:r>
      <w:r>
        <w:rPr>
          <w:i/>
          <w:iCs/>
        </w:rPr>
        <w:t xml:space="preserve">supra</w:t>
      </w:r>
      <w:r>
        <w:t xml:space="preserve">, § 1357, at 712. </w:t>
      </w:r>
      <w:r>
        <w:t xml:space="preserve">Professor Burbank reaches the same conclusion. </w:t>
      </w:r>
      <w:r>
        <w:rPr>
          <w:i/>
          <w:iCs/>
        </w:rPr>
        <w:t xml:space="preserve">See</w:t>
      </w:r>
      <w:r>
        <w:t xml:space="preserve"> Burbank, </w:t>
      </w:r>
      <w:r>
        <w:rPr>
          <w:i/>
          <w:iCs/>
        </w:rPr>
        <w:t xml:space="preserve">supra</w:t>
      </w:r>
      <w:r>
        <w:t xml:space="preserve">, at 115. </w:t>
      </w:r>
      <w:r>
        <w:t xml:space="preserve">The Supreme Court's reasoning controls here. </w:t>
      </w:r>
      <w:r>
        <w:rPr>
          <w:i/>
          <w:iCs/>
        </w:rPr>
        <w:t xml:space="preserve">Twombly</w:t>
      </w:r>
      <w:r>
        <w:t xml:space="preserve">, </w:t>
      </w:r>
      <w:r>
        <w:rPr>
          <w:i/>
          <w:iCs/>
        </w:rPr>
        <w:t xml:space="preserve">supra</w:t>
      </w:r>
      <w:r>
        <w:t xml:space="preserve">, at 557. </w:t>
      </w:r>
      <w:r>
        <w:t xml:space="preserve">And as the Court emphasized in the companion case, </w:t>
      </w:r>
      <w:r>
        <w:rPr>
          <w:i/>
          <w:iCs/>
        </w:rPr>
        <w:t xml:space="preserve">Iqbal</w:t>
      </w:r>
      <w:r>
        <w:t xml:space="preserve">, </w:t>
      </w:r>
      <w:r>
        <w:rPr>
          <w:i/>
          <w:iCs/>
        </w:rPr>
        <w:t xml:space="preserve">supra</w:t>
      </w:r>
      <w:r>
        <w:t xml:space="preserve">, at 680, the standard is exacting.</w:t>
      </w:r>
    </w:p>
    <w:p>
      <w:r>
        <w:t xml:space="preserve"/>
      </w:r>
    </w:p>
    <w:p>
      <w:r>
        <w:rPr>
          <w:b/>
          <w:bCs/>
        </w:rPr>
        <w:t xml:space="preserve">IV.  The Authorities Defendant Cited Earlier Remain Controlling</w:t>
      </w:r>
    </w:p>
    <w:p>
      <w:pPr>
        <w:jc w:val="both"/>
      </w:pPr>
      <w:r>
        <w:t xml:space="preserve">        The Seventh Circuit framework is well-established. </w:t>
      </w:r>
      <w:r>
        <w:rPr>
          <w:i/>
          <w:iCs/>
        </w:rPr>
        <w:t xml:space="preserve">See McCauley v. City of Chicago</w:t>
      </w:r>
      <w:r>
        <w:t xml:space="preserve">, 671 F.3d 611, 616 (7th Cir. 2011); </w:t>
      </w:r>
      <w:r>
        <w:rPr>
          <w:i/>
          <w:iCs/>
        </w:rPr>
        <w:t xml:space="preserve">Brooks v. Ross</w:t>
      </w:r>
      <w:r>
        <w:t xml:space="preserve">, 578 F.3d 574, 581 (7th Cir. 2009); </w:t>
      </w:r>
      <w:r>
        <w:rPr>
          <w:i/>
          <w:iCs/>
        </w:rPr>
        <w:t xml:space="preserve">Limestone Dev. Corp. v. Vill. of Lemont</w:t>
      </w:r>
      <w:r>
        <w:t xml:space="preserve">, 520 F.3d 797, 803 (7th Cir. 2008); </w:t>
      </w:r>
      <w:r>
        <w:rPr>
          <w:i/>
          <w:iCs/>
        </w:rPr>
        <w:t xml:space="preserve">Killingsworth v. HSBC Bank Nev., N.A.</w:t>
      </w:r>
      <w:r>
        <w:t xml:space="preserve">, 507 F.3d 614, 618 (7th Cir. 2007); </w:t>
      </w:r>
      <w:r>
        <w:rPr>
          <w:i/>
          <w:iCs/>
        </w:rPr>
        <w:t xml:space="preserve">EEOC v. Concentra Health Servs., Inc.</w:t>
      </w:r>
      <w:r>
        <w:t xml:space="preserve">, 496 F.3d 773, 776 (7th Cir. 2007); </w:t>
      </w:r>
      <w:r>
        <w:rPr>
          <w:i/>
          <w:iCs/>
        </w:rPr>
        <w:t xml:space="preserve">Vincent v. City Colls. of Chicago</w:t>
      </w:r>
      <w:r>
        <w:t xml:space="preserve">, 485 F.3d 919, 922 (7th Cir. 2007); </w:t>
      </w:r>
      <w:r>
        <w:rPr>
          <w:i/>
          <w:iCs/>
        </w:rPr>
        <w:t xml:space="preserve">Twombly</w:t>
      </w:r>
      <w:r>
        <w:t xml:space="preserve">, 550 U.S. at 555. </w:t>
      </w:r>
      <w:r>
        <w:rPr>
          <w:i/>
          <w:iCs/>
        </w:rPr>
        <w:t xml:space="preserve">Tamayo</w:t>
      </w:r>
      <w:r>
        <w:t xml:space="preserve">, 526 F.3d at 1081, controls the outcome here. </w:t>
      </w:r>
      <w:r>
        <w:t xml:space="preserve">The Court must apply the standard set forth in </w:t>
      </w:r>
      <w:r>
        <w:rPr>
          <w:i/>
          <w:iCs/>
        </w:rPr>
        <w:t xml:space="preserve">Iqbal</w:t>
      </w:r>
      <w:r>
        <w:t xml:space="preserve">, 556 U.S. at 678.</w:t>
      </w:r>
    </w:p>
    <w:p>
      <w:r>
        <w:t xml:space="preserve"/>
      </w:r>
    </w:p>
    <w:p>
      <w:r>
        <w:rPr>
          <w:b/>
          <w:bCs/>
        </w:rPr>
        <w:t xml:space="preserve">V.  Statutory Construction Supports Dismissal</w:t>
      </w:r>
    </w:p>
    <w:p>
      <w:pPr>
        <w:jc w:val="both"/>
      </w:pPr>
      <w:r>
        <w:t xml:space="preserve">        The relevant provision is the Securities Exchange Act of 1934, 15 U.S.C. §§ 78a–78pp [hereinafter Exchange Act]. </w:t>
      </w:r>
      <w:r>
        <w:t xml:space="preserve">The Exchange Act establishes the framework for federal securities regulation. </w:t>
      </w:r>
      <w:r>
        <w:t xml:space="preserve">The Investment Advisers Act of 1940 addresses related concerns. </w:t>
      </w:r>
      <w:r>
        <w:t xml:space="preserve">Both statutes are subject to ordinary canons of construction. </w:t>
      </w:r>
      <w:r>
        <w:rPr>
          <w:i/>
          <w:iCs/>
        </w:rPr>
        <w:t xml:space="preserve">See infra</w:t>
      </w:r>
      <w:r>
        <w:t xml:space="preserve"> Part VI. </w:t>
      </w:r>
      <w:r>
        <w:t xml:space="preserve">As discussed above, </w:t>
      </w:r>
      <w:r>
        <w:rPr>
          <w:i/>
          <w:iCs/>
        </w:rPr>
        <w:t xml:space="preserve">see supra</w:t>
      </w:r>
      <w:r>
        <w:t xml:space="preserve"> Part II, the plausibility standard governs. </w:t>
      </w:r>
      <w:r>
        <w:t xml:space="preserve">The Investors Act provides additional restrictions on the conduct alleged.</w:t>
      </w:r>
    </w:p>
    <w:p>
      <w:r>
        <w:t xml:space="preserve"/>
      </w:r>
    </w:p>
    <w:p>
      <w:r>
        <w:rPr>
          <w:b/>
          <w:bCs/>
        </w:rPr>
        <w:t xml:space="preserve">VI.  The Court Should Dismiss the Complaint</w:t>
      </w:r>
    </w:p>
    <w:p>
      <w:pPr>
        <w:jc w:val="both"/>
      </w:pPr>
      <w:r>
        <w:t xml:space="preserve">        For the reasons stated above and in Defendant's opening memorandum, the Complaint should be dismissed with prejudice. </w:t>
      </w:r>
      <w:r>
        <w:rPr>
          <w:i/>
          <w:iCs/>
        </w:rPr>
        <w:t xml:space="preserve">See</w:t>
      </w:r>
      <w:r>
        <w:t xml:space="preserve"> Fed. R. Civ. P. 12(b)(6). The plausibility standard from </w:t>
      </w:r>
      <w:r>
        <w:rPr>
          <w:i/>
          <w:iCs/>
        </w:rPr>
        <w:t xml:space="preserve">Twombly</w:t>
      </w:r>
      <w:r>
        <w:t xml:space="preserve"> and </w:t>
      </w:r>
      <w:r>
        <w:rPr>
          <w:i/>
          <w:iCs/>
        </w:rPr>
        <w:t xml:space="preserve">Iqbal</w:t>
      </w:r>
      <w:r>
        <w:t xml:space="preserve"> forecloses Plaintiff's claims. </w:t>
      </w:r>
      <w:r>
        <w:rPr>
          <w:i/>
          <w:iCs/>
        </w:rPr>
        <w:t xml:space="preserve">See</w:t>
      </w:r>
      <w:r>
        <w:t xml:space="preserve"> 5B Wright &amp; Miller, </w:t>
      </w:r>
      <w:r>
        <w:rPr>
          <w:i/>
          <w:iCs/>
        </w:rPr>
        <w:t xml:space="preserve">supra</w:t>
      </w:r>
      <w:r>
        <w:t xml:space="preserve">, § 1357, at 715.</w:t>
      </w:r>
    </w:p>
    <w:p>
      <w:r>
        <w:t xml:space="preserve"/>
      </w:r>
    </w:p>
    <w:p>
      <w:r>
        <w:rPr>
          <w:b/>
          <w:bCs/>
        </w:rPr>
        <w:t xml:space="preserve">CONCLUSION</w:t>
      </w:r>
    </w:p>
    <w:p>
      <w:pPr>
        <w:jc w:val="both"/>
      </w:pPr>
      <w:r>
        <w:t xml:space="preserve">        For the foregoing reasons, the motion should be granted.</w:t>
      </w:r>
    </w:p>
    <w:p>
      <w:r>
        <w:t xml:space="preserve"/>
      </w:r>
    </w:p>
    <w:p>
      <w:r>
        <w:t xml:space="preserve">Respectfully submitted,</w:t>
      </w:r>
    </w:p>
    <w:p>
      <w:r>
        <w:t xml:space="preserve"/>
      </w:r>
    </w:p>
    <w:p>
      <w:r>
        <w:t xml:space="preserve">/s/ Counsel for Defendant</w:t>
      </w:r>
    </w:p>
    <w:sectPr>
      <w:pgSz w:w="12240" w:h="15840" w:orient="portrait"/>
      <w:pgMar w:top="1224" w:right="1440" w:bottom="122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2026-04-30T00:19:10.436Z</dcterms:created>
  <dcterms:modified xsi:type="dcterms:W3CDTF">2026-04-30T00:19:10.436Z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